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FA7B" w14:textId="57F2B9E3" w:rsidR="00DD5E98" w:rsidRPr="00707B40" w:rsidRDefault="00EF50A1" w:rsidP="00707B40">
      <w:pPr>
        <w:spacing w:after="120" w:line="360" w:lineRule="auto"/>
        <w:jc w:val="center"/>
        <w:rPr>
          <w:rFonts w:ascii="Cambria" w:hAnsi="Cambria" w:cstheme="minorHAnsi"/>
          <w:b/>
          <w:sz w:val="28"/>
          <w:szCs w:val="28"/>
        </w:rPr>
      </w:pPr>
      <w:r w:rsidRPr="00707B40">
        <w:rPr>
          <w:rFonts w:ascii="Cambria" w:hAnsi="Cambria" w:cstheme="minorHAnsi"/>
          <w:b/>
          <w:sz w:val="28"/>
          <w:szCs w:val="28"/>
        </w:rPr>
        <w:t>INVESTMENT DECLARATION</w:t>
      </w:r>
    </w:p>
    <w:p w14:paraId="665E2144" w14:textId="77777777" w:rsidR="00686D59" w:rsidRPr="00707B40" w:rsidRDefault="00686D59" w:rsidP="00707B40">
      <w:pPr>
        <w:pStyle w:val="ListParagraph"/>
        <w:numPr>
          <w:ilvl w:val="0"/>
          <w:numId w:val="26"/>
        </w:numPr>
        <w:spacing w:after="120" w:line="360" w:lineRule="auto"/>
        <w:ind w:left="0" w:firstLine="0"/>
        <w:jc w:val="both"/>
        <w:rPr>
          <w:rFonts w:ascii="Cambria" w:hAnsi="Cambria"/>
          <w:b/>
          <w:sz w:val="22"/>
          <w:szCs w:val="22"/>
          <w:u w:val="single"/>
        </w:rPr>
      </w:pPr>
      <w:r w:rsidRPr="00707B40">
        <w:rPr>
          <w:rFonts w:ascii="Cambria" w:hAnsi="Cambria"/>
          <w:b/>
          <w:sz w:val="22"/>
          <w:szCs w:val="22"/>
          <w:u w:val="single"/>
        </w:rPr>
        <w:t>Declaration Purpose and Objective</w:t>
      </w:r>
      <w:r w:rsidR="009A47AF" w:rsidRPr="00707B40">
        <w:rPr>
          <w:rFonts w:ascii="Cambria" w:hAnsi="Cambria"/>
          <w:b/>
          <w:sz w:val="22"/>
          <w:szCs w:val="22"/>
          <w:u w:val="single"/>
          <w:lang w:val="ru-RU"/>
        </w:rPr>
        <w:t xml:space="preserve"> </w:t>
      </w:r>
    </w:p>
    <w:p w14:paraId="5C07883E" w14:textId="62147E31" w:rsidR="00EF50A1" w:rsidRPr="00707B40" w:rsidRDefault="00EF50A1" w:rsidP="00707B40">
      <w:pPr>
        <w:spacing w:after="120" w:line="360" w:lineRule="auto"/>
        <w:jc w:val="both"/>
        <w:rPr>
          <w:rFonts w:ascii="Cambria" w:hAnsi="Cambria" w:cs="Times New Roman"/>
          <w:lang w:val="en-GB"/>
        </w:rPr>
      </w:pPr>
      <w:r w:rsidRPr="00707B40">
        <w:rPr>
          <w:rFonts w:ascii="Cambria" w:hAnsi="Cambria" w:cs="Times New Roman"/>
        </w:rPr>
        <w:t>This Investment Declaration (hereinafter referred to as the “</w:t>
      </w:r>
      <w:r w:rsidRPr="00707B40">
        <w:rPr>
          <w:rFonts w:ascii="Cambria" w:hAnsi="Cambria" w:cs="Times New Roman"/>
          <w:b/>
        </w:rPr>
        <w:t>Declaration</w:t>
      </w:r>
      <w:r w:rsidRPr="00707B40">
        <w:rPr>
          <w:rFonts w:ascii="Cambria" w:hAnsi="Cambria" w:cs="Times New Roman"/>
        </w:rPr>
        <w:t>”) is an integral part of the Agreement for the Provision of Discretionary Portfolio Management Services (hereinafter referred to as the “</w:t>
      </w:r>
      <w:r w:rsidRPr="00707B40">
        <w:rPr>
          <w:rFonts w:ascii="Cambria" w:hAnsi="Cambria" w:cs="Times New Roman"/>
          <w:b/>
        </w:rPr>
        <w:t>Agreement</w:t>
      </w:r>
      <w:r w:rsidRPr="00707B40">
        <w:rPr>
          <w:rFonts w:ascii="Cambria" w:hAnsi="Cambria" w:cs="Times New Roman"/>
        </w:rPr>
        <w:t xml:space="preserve">”) dated </w:t>
      </w:r>
      <w:r w:rsidR="00DE03DF" w:rsidRPr="00707B40">
        <w:rPr>
          <w:rFonts w:ascii="Cambria" w:hAnsi="Cambria" w:cs="Times New Roman"/>
        </w:rPr>
        <w:t>_____</w:t>
      </w:r>
      <w:r w:rsidR="00B60AA1" w:rsidRPr="00707B40">
        <w:rPr>
          <w:rFonts w:ascii="Cambria" w:hAnsi="Cambria" w:cs="Times New Roman"/>
        </w:rPr>
        <w:t>__________________</w:t>
      </w:r>
      <w:r w:rsidR="00DE03DF" w:rsidRPr="00707B40">
        <w:rPr>
          <w:rFonts w:ascii="Cambria" w:hAnsi="Cambria" w:cs="Times New Roman"/>
        </w:rPr>
        <w:t>__</w:t>
      </w:r>
      <w:r w:rsidRPr="00707B40">
        <w:rPr>
          <w:rFonts w:ascii="Cambria" w:hAnsi="Cambria" w:cs="Times New Roman"/>
        </w:rPr>
        <w:t xml:space="preserve"> made between </w:t>
      </w:r>
      <w:r w:rsidRPr="00707B40">
        <w:rPr>
          <w:rFonts w:ascii="Cambria" w:hAnsi="Cambria" w:cs="Times New Roman"/>
          <w:b/>
        </w:rPr>
        <w:t>Skanestas Investments Limited</w:t>
      </w:r>
      <w:r w:rsidRPr="00707B40">
        <w:rPr>
          <w:rFonts w:ascii="Cambria" w:hAnsi="Cambria" w:cs="Times New Roman"/>
        </w:rPr>
        <w:t xml:space="preserve"> (hereinafter referred to as the </w:t>
      </w:r>
      <w:r w:rsidR="00AD1B44" w:rsidRPr="00707B40">
        <w:rPr>
          <w:rFonts w:ascii="Cambria" w:hAnsi="Cambria" w:cs="Times New Roman"/>
        </w:rPr>
        <w:t>“</w:t>
      </w:r>
      <w:r w:rsidR="00AD1B44" w:rsidRPr="00707B40">
        <w:rPr>
          <w:rFonts w:ascii="Cambria" w:hAnsi="Cambria" w:cs="Times New Roman"/>
          <w:b/>
        </w:rPr>
        <w:t>Portfolio Manager</w:t>
      </w:r>
      <w:r w:rsidR="00AD1B44" w:rsidRPr="00707B40">
        <w:rPr>
          <w:rFonts w:ascii="Cambria" w:hAnsi="Cambria" w:cs="Times New Roman"/>
        </w:rPr>
        <w:t>”</w:t>
      </w:r>
      <w:r w:rsidR="00313348" w:rsidRPr="00707B40">
        <w:rPr>
          <w:rFonts w:ascii="Cambria" w:hAnsi="Cambria" w:cs="Times New Roman"/>
        </w:rPr>
        <w:t>) and</w:t>
      </w:r>
      <w:r w:rsidR="001314F6" w:rsidRPr="00707B40">
        <w:rPr>
          <w:rFonts w:ascii="Cambria" w:hAnsi="Cambria"/>
          <w:b/>
        </w:rPr>
        <w:t xml:space="preserve"> </w:t>
      </w:r>
      <w:r w:rsidR="00DE03DF" w:rsidRPr="00707B40">
        <w:rPr>
          <w:rFonts w:ascii="Cambria" w:hAnsi="Cambria" w:cs="Times New Roman"/>
        </w:rPr>
        <w:t>__</w:t>
      </w:r>
      <w:r w:rsidR="00B60AA1" w:rsidRPr="00707B40">
        <w:rPr>
          <w:rFonts w:ascii="Cambria" w:hAnsi="Cambria" w:cs="Times New Roman"/>
        </w:rPr>
        <w:t>______________</w:t>
      </w:r>
      <w:r w:rsidR="00DE03DF" w:rsidRPr="00707B40">
        <w:rPr>
          <w:rFonts w:ascii="Cambria" w:hAnsi="Cambria" w:cs="Times New Roman"/>
        </w:rPr>
        <w:t>______</w:t>
      </w:r>
      <w:r w:rsidR="000928A9" w:rsidRPr="00707B40">
        <w:rPr>
          <w:rFonts w:ascii="Cambria" w:hAnsi="Cambria" w:cs="Times New Roman"/>
        </w:rPr>
        <w:t xml:space="preserve">, passport </w:t>
      </w:r>
      <w:r w:rsidR="00DE03DF" w:rsidRPr="00707B40">
        <w:rPr>
          <w:rFonts w:ascii="Cambria" w:hAnsi="Cambria" w:cs="Times New Roman"/>
        </w:rPr>
        <w:t>___</w:t>
      </w:r>
      <w:r w:rsidR="00B60AA1" w:rsidRPr="00707B40">
        <w:rPr>
          <w:rFonts w:ascii="Cambria" w:hAnsi="Cambria" w:cs="Times New Roman"/>
        </w:rPr>
        <w:t>____________</w:t>
      </w:r>
      <w:r w:rsidR="00DE03DF" w:rsidRPr="00707B40">
        <w:rPr>
          <w:rFonts w:ascii="Cambria" w:hAnsi="Cambria" w:cs="Times New Roman"/>
        </w:rPr>
        <w:t>___</w:t>
      </w:r>
      <w:r w:rsidR="000928A9" w:rsidRPr="00707B40">
        <w:rPr>
          <w:rFonts w:ascii="Cambria" w:hAnsi="Cambria"/>
        </w:rPr>
        <w:t xml:space="preserve"> </w:t>
      </w:r>
      <w:r w:rsidRPr="00707B40">
        <w:rPr>
          <w:rFonts w:ascii="Cambria" w:hAnsi="Cambria" w:cs="Times New Roman"/>
        </w:rPr>
        <w:t>(hereinafter referred to as the “</w:t>
      </w:r>
      <w:r w:rsidRPr="00707B40">
        <w:rPr>
          <w:rFonts w:ascii="Cambria" w:hAnsi="Cambria" w:cs="Times New Roman"/>
          <w:b/>
        </w:rPr>
        <w:t>Client</w:t>
      </w:r>
      <w:r w:rsidRPr="00707B40">
        <w:rPr>
          <w:rFonts w:ascii="Cambria" w:hAnsi="Cambria" w:cs="Times New Roman"/>
        </w:rPr>
        <w:t xml:space="preserve">”). The </w:t>
      </w:r>
      <w:r w:rsidR="00F218A0" w:rsidRPr="00707B40">
        <w:rPr>
          <w:rFonts w:ascii="Cambria" w:hAnsi="Cambria" w:cs="Times New Roman"/>
        </w:rPr>
        <w:t xml:space="preserve">Investment </w:t>
      </w:r>
      <w:r w:rsidRPr="00707B40">
        <w:rPr>
          <w:rFonts w:ascii="Cambria" w:hAnsi="Cambria" w:cs="Times New Roman"/>
        </w:rPr>
        <w:t xml:space="preserve">Declaration should be considered an inseparable and integral part of the Agreement.  Unless otherwise defined, capitalized terms herein shall have the same meanings as ascribed to them in the Agreement. </w:t>
      </w:r>
      <w:r w:rsidR="00A14FB4" w:rsidRPr="00707B40">
        <w:rPr>
          <w:rFonts w:ascii="Cambria" w:hAnsi="Cambria" w:cs="Times New Roman"/>
          <w:lang w:val="en-GB"/>
        </w:rPr>
        <w:t xml:space="preserve">Should there be any discrepancies between the Agreement and this Investment Declaration, the Agreement shall </w:t>
      </w:r>
      <w:proofErr w:type="gramStart"/>
      <w:r w:rsidR="00A14FB4" w:rsidRPr="00707B40">
        <w:rPr>
          <w:rFonts w:ascii="Cambria" w:hAnsi="Cambria" w:cs="Times New Roman"/>
          <w:lang w:val="en-GB"/>
        </w:rPr>
        <w:t>prevail at all times</w:t>
      </w:r>
      <w:proofErr w:type="gramEnd"/>
      <w:r w:rsidR="00A14FB4" w:rsidRPr="00707B40">
        <w:rPr>
          <w:rFonts w:ascii="Cambria" w:hAnsi="Cambria" w:cs="Times New Roman"/>
          <w:lang w:val="en-GB"/>
        </w:rPr>
        <w:t xml:space="preserve">. </w:t>
      </w:r>
    </w:p>
    <w:p w14:paraId="7F913B18" w14:textId="77777777" w:rsidR="00BE1F00" w:rsidRPr="00707B40" w:rsidRDefault="00BE1F00" w:rsidP="00707B40">
      <w:pPr>
        <w:spacing w:after="120" w:line="360" w:lineRule="auto"/>
        <w:jc w:val="both"/>
        <w:rPr>
          <w:rFonts w:ascii="Cambria" w:hAnsi="Cambria" w:cs="Times New Roman"/>
          <w:lang w:val="en-GB"/>
        </w:rPr>
      </w:pPr>
    </w:p>
    <w:p w14:paraId="01950CB8" w14:textId="46486093" w:rsidR="00BE1F00" w:rsidRPr="00707B40" w:rsidRDefault="00BE1F00" w:rsidP="00707B40">
      <w:pPr>
        <w:spacing w:after="120" w:line="360" w:lineRule="auto"/>
        <w:jc w:val="both"/>
        <w:rPr>
          <w:rFonts w:ascii="Cambria" w:hAnsi="Cambria" w:cs="Times New Roman"/>
          <w:lang w:val="en-GB"/>
        </w:rPr>
      </w:pPr>
      <w:r w:rsidRPr="00707B40">
        <w:rPr>
          <w:rFonts w:ascii="Cambria" w:hAnsi="Cambria" w:cs="Times New Roman"/>
          <w:lang w:val="en-GB"/>
        </w:rPr>
        <w:t xml:space="preserve">This Declaration has been tailored in accordance with the Client Questionnaire completed by the Client and the mandatory Suitability Assessment performed by the Portfolio Manager for the purpose of the Declaration and the Services under the Agreement. </w:t>
      </w:r>
    </w:p>
    <w:p w14:paraId="2802A278" w14:textId="77777777" w:rsidR="000E2B5F" w:rsidRPr="00707B40" w:rsidRDefault="000E2B5F" w:rsidP="00707B40">
      <w:pPr>
        <w:spacing w:after="120" w:line="360" w:lineRule="auto"/>
        <w:jc w:val="both"/>
        <w:rPr>
          <w:rFonts w:ascii="Cambria" w:hAnsi="Cambria" w:cs="Times New Roman"/>
        </w:rPr>
      </w:pPr>
    </w:p>
    <w:p w14:paraId="081F974F" w14:textId="77777777" w:rsidR="006E19FF" w:rsidRPr="00707B40" w:rsidRDefault="006E19FF" w:rsidP="00707B40">
      <w:pPr>
        <w:spacing w:after="120" w:line="360" w:lineRule="auto"/>
        <w:jc w:val="both"/>
        <w:rPr>
          <w:rFonts w:ascii="Cambria" w:hAnsi="Cambria" w:cs="Times New Roman"/>
        </w:rPr>
      </w:pPr>
      <w:r w:rsidRPr="00707B40">
        <w:rPr>
          <w:rFonts w:ascii="Cambria" w:hAnsi="Cambria" w:cs="Times New Roman"/>
        </w:rPr>
        <w:t>The purpose of this Declaration is to provide guidance of overseeing the investment approaches:</w:t>
      </w:r>
    </w:p>
    <w:p w14:paraId="3EFC70A4" w14:textId="77777777" w:rsidR="006E19FF" w:rsidRPr="00707B40" w:rsidRDefault="006E19FF" w:rsidP="00707B40">
      <w:pPr>
        <w:pStyle w:val="ListParagraph"/>
        <w:numPr>
          <w:ilvl w:val="0"/>
          <w:numId w:val="31"/>
        </w:numPr>
        <w:spacing w:after="120" w:line="360" w:lineRule="auto"/>
        <w:jc w:val="both"/>
        <w:rPr>
          <w:rFonts w:ascii="Cambria" w:hAnsi="Cambria"/>
          <w:sz w:val="22"/>
          <w:szCs w:val="22"/>
        </w:rPr>
      </w:pPr>
      <w:r w:rsidRPr="00707B40">
        <w:rPr>
          <w:rFonts w:ascii="Cambria" w:hAnsi="Cambria"/>
          <w:sz w:val="22"/>
          <w:szCs w:val="22"/>
        </w:rPr>
        <w:t xml:space="preserve">Establish and review of investment </w:t>
      </w:r>
      <w:proofErr w:type="gramStart"/>
      <w:r w:rsidRPr="00707B40">
        <w:rPr>
          <w:rFonts w:ascii="Cambria" w:hAnsi="Cambria"/>
          <w:sz w:val="22"/>
          <w:szCs w:val="22"/>
        </w:rPr>
        <w:t>objectives;</w:t>
      </w:r>
      <w:proofErr w:type="gramEnd"/>
    </w:p>
    <w:p w14:paraId="757A0D3B" w14:textId="77777777" w:rsidR="006E19FF" w:rsidRPr="00707B40" w:rsidRDefault="006E19FF" w:rsidP="00707B40">
      <w:pPr>
        <w:pStyle w:val="ListParagraph"/>
        <w:numPr>
          <w:ilvl w:val="0"/>
          <w:numId w:val="31"/>
        </w:numPr>
        <w:spacing w:after="120" w:line="360" w:lineRule="auto"/>
        <w:jc w:val="both"/>
        <w:rPr>
          <w:rFonts w:ascii="Cambria" w:hAnsi="Cambria"/>
          <w:sz w:val="22"/>
          <w:szCs w:val="22"/>
        </w:rPr>
      </w:pPr>
      <w:r w:rsidRPr="00707B40">
        <w:rPr>
          <w:rFonts w:ascii="Cambria" w:hAnsi="Cambria"/>
          <w:sz w:val="22"/>
          <w:szCs w:val="22"/>
        </w:rPr>
        <w:t xml:space="preserve">Identify those functions within the Portfolio Management department with the ability for selecting and reviewing investments </w:t>
      </w:r>
      <w:proofErr w:type="gramStart"/>
      <w:r w:rsidRPr="00707B40">
        <w:rPr>
          <w:rFonts w:ascii="Cambria" w:hAnsi="Cambria"/>
          <w:sz w:val="22"/>
          <w:szCs w:val="22"/>
        </w:rPr>
        <w:t>approaches;</w:t>
      </w:r>
      <w:proofErr w:type="gramEnd"/>
    </w:p>
    <w:p w14:paraId="665A7F7A" w14:textId="77777777" w:rsidR="006E19FF" w:rsidRPr="00707B40" w:rsidRDefault="006E19FF" w:rsidP="00707B40">
      <w:pPr>
        <w:pStyle w:val="ListParagraph"/>
        <w:numPr>
          <w:ilvl w:val="0"/>
          <w:numId w:val="31"/>
        </w:numPr>
        <w:spacing w:after="120" w:line="360" w:lineRule="auto"/>
        <w:jc w:val="both"/>
        <w:rPr>
          <w:rFonts w:ascii="Cambria" w:hAnsi="Cambria"/>
          <w:sz w:val="22"/>
          <w:szCs w:val="22"/>
        </w:rPr>
      </w:pPr>
      <w:r w:rsidRPr="00707B40">
        <w:rPr>
          <w:rFonts w:ascii="Cambria" w:hAnsi="Cambria"/>
          <w:sz w:val="22"/>
          <w:szCs w:val="22"/>
        </w:rPr>
        <w:t xml:space="preserve">Designate the asset classes of investment </w:t>
      </w:r>
      <w:proofErr w:type="gramStart"/>
      <w:r w:rsidRPr="00707B40">
        <w:rPr>
          <w:rFonts w:ascii="Cambria" w:hAnsi="Cambria"/>
          <w:sz w:val="22"/>
          <w:szCs w:val="22"/>
        </w:rPr>
        <w:t>options;</w:t>
      </w:r>
      <w:proofErr w:type="gramEnd"/>
      <w:r w:rsidRPr="00707B40">
        <w:rPr>
          <w:rFonts w:ascii="Cambria" w:hAnsi="Cambria"/>
          <w:sz w:val="22"/>
          <w:szCs w:val="22"/>
        </w:rPr>
        <w:t xml:space="preserve"> </w:t>
      </w:r>
    </w:p>
    <w:p w14:paraId="38D94CA7" w14:textId="77777777" w:rsidR="006E19FF" w:rsidRPr="00707B40" w:rsidRDefault="006E19FF" w:rsidP="00707B40">
      <w:pPr>
        <w:pStyle w:val="ListParagraph"/>
        <w:numPr>
          <w:ilvl w:val="0"/>
          <w:numId w:val="31"/>
        </w:numPr>
        <w:spacing w:after="120" w:line="360" w:lineRule="auto"/>
        <w:jc w:val="both"/>
        <w:rPr>
          <w:rFonts w:ascii="Cambria" w:hAnsi="Cambria"/>
          <w:sz w:val="22"/>
          <w:szCs w:val="22"/>
        </w:rPr>
      </w:pPr>
      <w:r w:rsidRPr="00707B40">
        <w:rPr>
          <w:rFonts w:ascii="Cambria" w:hAnsi="Cambria"/>
          <w:sz w:val="22"/>
          <w:szCs w:val="22"/>
        </w:rPr>
        <w:t xml:space="preserve">Identify the criteria that may be considered when selecting </w:t>
      </w:r>
      <w:proofErr w:type="gramStart"/>
      <w:r w:rsidRPr="00707B40">
        <w:rPr>
          <w:rFonts w:ascii="Cambria" w:hAnsi="Cambria"/>
          <w:sz w:val="22"/>
          <w:szCs w:val="22"/>
        </w:rPr>
        <w:t>assets;</w:t>
      </w:r>
      <w:proofErr w:type="gramEnd"/>
      <w:r w:rsidRPr="00707B40">
        <w:rPr>
          <w:rFonts w:ascii="Cambria" w:hAnsi="Cambria"/>
          <w:sz w:val="22"/>
          <w:szCs w:val="22"/>
        </w:rPr>
        <w:t xml:space="preserve"> </w:t>
      </w:r>
    </w:p>
    <w:p w14:paraId="035E7AA3" w14:textId="77777777" w:rsidR="006E19FF" w:rsidRPr="00707B40" w:rsidRDefault="006E19FF" w:rsidP="00707B40">
      <w:pPr>
        <w:pStyle w:val="ListParagraph"/>
        <w:numPr>
          <w:ilvl w:val="0"/>
          <w:numId w:val="31"/>
        </w:numPr>
        <w:spacing w:after="120" w:line="360" w:lineRule="auto"/>
        <w:jc w:val="both"/>
        <w:rPr>
          <w:rFonts w:ascii="Cambria" w:hAnsi="Cambria"/>
          <w:sz w:val="22"/>
          <w:szCs w:val="22"/>
        </w:rPr>
      </w:pPr>
      <w:r w:rsidRPr="00707B40">
        <w:rPr>
          <w:rFonts w:ascii="Cambria" w:hAnsi="Cambria"/>
          <w:sz w:val="22"/>
          <w:szCs w:val="22"/>
        </w:rPr>
        <w:t>Provide a single document designed to ensure that investment goals and requirements are met.</w:t>
      </w:r>
    </w:p>
    <w:p w14:paraId="5A937C21" w14:textId="77777777" w:rsidR="00461FDB" w:rsidRPr="00707B40" w:rsidRDefault="00461FDB" w:rsidP="00707B40">
      <w:pPr>
        <w:spacing w:after="120" w:line="360" w:lineRule="auto"/>
        <w:jc w:val="both"/>
        <w:rPr>
          <w:rFonts w:ascii="Cambria" w:eastAsia="Times New Roman" w:hAnsi="Cambria" w:cs="Times New Roman"/>
          <w:b/>
          <w:u w:val="single"/>
          <w:lang w:eastAsia="ru-RU"/>
        </w:rPr>
      </w:pPr>
    </w:p>
    <w:p w14:paraId="670DF1AD" w14:textId="77777777" w:rsidR="0016746A" w:rsidRPr="00707B40" w:rsidRDefault="00073745" w:rsidP="00707B40">
      <w:pPr>
        <w:pStyle w:val="ListParagraph"/>
        <w:numPr>
          <w:ilvl w:val="0"/>
          <w:numId w:val="26"/>
        </w:numPr>
        <w:spacing w:after="120" w:line="360" w:lineRule="auto"/>
        <w:ind w:left="0" w:firstLine="0"/>
        <w:jc w:val="both"/>
        <w:rPr>
          <w:rFonts w:ascii="Cambria" w:hAnsi="Cambria"/>
          <w:b/>
          <w:sz w:val="22"/>
          <w:szCs w:val="22"/>
          <w:u w:val="single"/>
        </w:rPr>
      </w:pPr>
      <w:r w:rsidRPr="00707B40">
        <w:rPr>
          <w:rFonts w:ascii="Cambria" w:hAnsi="Cambria"/>
          <w:b/>
          <w:sz w:val="22"/>
          <w:szCs w:val="22"/>
          <w:u w:val="single"/>
        </w:rPr>
        <w:t>Risk and Return</w:t>
      </w:r>
    </w:p>
    <w:p w14:paraId="401B3A9B" w14:textId="304879CA" w:rsidR="0016746A" w:rsidRPr="00707B40" w:rsidRDefault="0016746A" w:rsidP="00707B40">
      <w:pPr>
        <w:spacing w:after="120" w:line="360" w:lineRule="auto"/>
        <w:jc w:val="both"/>
        <w:rPr>
          <w:rFonts w:ascii="Cambria" w:hAnsi="Cambria" w:cs="Arial"/>
        </w:rPr>
      </w:pPr>
      <w:r w:rsidRPr="00707B40">
        <w:rPr>
          <w:rFonts w:ascii="Cambria" w:hAnsi="Cambria" w:cs="Arial"/>
        </w:rPr>
        <w:t xml:space="preserve">Rates of </w:t>
      </w:r>
      <w:r w:rsidR="00D903DB" w:rsidRPr="00707B40">
        <w:rPr>
          <w:rFonts w:ascii="Cambria" w:hAnsi="Cambria" w:cs="Arial"/>
        </w:rPr>
        <w:t>r</w:t>
      </w:r>
      <w:r w:rsidRPr="00707B40">
        <w:rPr>
          <w:rFonts w:ascii="Cambria" w:hAnsi="Cambria" w:cs="Arial"/>
        </w:rPr>
        <w:t xml:space="preserve">eturn </w:t>
      </w:r>
      <w:r w:rsidR="00D903DB" w:rsidRPr="00707B40">
        <w:rPr>
          <w:rFonts w:ascii="Cambria" w:hAnsi="Cambria" w:cs="Arial"/>
        </w:rPr>
        <w:t>e</w:t>
      </w:r>
      <w:r w:rsidRPr="00707B40">
        <w:rPr>
          <w:rFonts w:ascii="Cambria" w:hAnsi="Cambria" w:cs="Arial"/>
        </w:rPr>
        <w:t xml:space="preserve">xpectations vary in their level of risk tolerance. </w:t>
      </w:r>
      <w:r w:rsidR="00BA690B" w:rsidRPr="00707B40">
        <w:rPr>
          <w:rFonts w:ascii="Cambria" w:hAnsi="Cambria" w:cs="Arial"/>
        </w:rPr>
        <w:t>I</w:t>
      </w:r>
      <w:r w:rsidR="00073745" w:rsidRPr="00707B40">
        <w:rPr>
          <w:rFonts w:ascii="Cambria" w:hAnsi="Cambria" w:cs="Arial"/>
        </w:rPr>
        <w:t>nvestment strategy</w:t>
      </w:r>
      <w:r w:rsidRPr="00707B40">
        <w:rPr>
          <w:rFonts w:ascii="Cambria" w:hAnsi="Cambria" w:cs="Arial"/>
        </w:rPr>
        <w:t xml:space="preserve"> will offer a wide spectrum of investment options with varying levels of risk and return</w:t>
      </w:r>
      <w:r w:rsidR="00073745" w:rsidRPr="00707B40">
        <w:rPr>
          <w:rFonts w:ascii="Cambria" w:hAnsi="Cambria" w:cs="Arial"/>
        </w:rPr>
        <w:t xml:space="preserve"> expectations</w:t>
      </w:r>
      <w:r w:rsidR="00282ACD" w:rsidRPr="00707B40">
        <w:rPr>
          <w:rFonts w:ascii="Cambria" w:hAnsi="Cambria" w:cs="Arial"/>
        </w:rPr>
        <w:t>, always based on the results of the Suitability Assessment the Client has taken</w:t>
      </w:r>
      <w:r w:rsidRPr="00707B40">
        <w:rPr>
          <w:rFonts w:ascii="Cambria" w:hAnsi="Cambria" w:cs="Arial"/>
        </w:rPr>
        <w:t xml:space="preserve">. </w:t>
      </w:r>
      <w:r w:rsidR="00AD1B44" w:rsidRPr="00707B40">
        <w:rPr>
          <w:rFonts w:ascii="Cambria" w:hAnsi="Cambria" w:cs="Arial"/>
        </w:rPr>
        <w:t xml:space="preserve">The Portfolio Manager </w:t>
      </w:r>
      <w:r w:rsidRPr="00707B40">
        <w:rPr>
          <w:rFonts w:ascii="Cambria" w:hAnsi="Cambria" w:cs="Arial"/>
        </w:rPr>
        <w:t xml:space="preserve">may design an investment </w:t>
      </w:r>
      <w:r w:rsidR="00BA690B" w:rsidRPr="00707B40">
        <w:rPr>
          <w:rFonts w:ascii="Cambria" w:hAnsi="Cambria" w:cs="Arial"/>
        </w:rPr>
        <w:t>strategy</w:t>
      </w:r>
      <w:r w:rsidRPr="00707B40">
        <w:rPr>
          <w:rFonts w:ascii="Cambria" w:hAnsi="Cambria" w:cs="Arial"/>
        </w:rPr>
        <w:t xml:space="preserve"> from those options that best meets </w:t>
      </w:r>
      <w:r w:rsidR="00D903DB" w:rsidRPr="00707B40">
        <w:rPr>
          <w:rFonts w:ascii="Cambria" w:hAnsi="Cambria" w:cs="Arial"/>
        </w:rPr>
        <w:t>investor</w:t>
      </w:r>
      <w:r w:rsidR="00BA690B" w:rsidRPr="00707B40">
        <w:rPr>
          <w:rFonts w:ascii="Cambria" w:hAnsi="Cambria" w:cs="Arial"/>
        </w:rPr>
        <w:t>’</w:t>
      </w:r>
      <w:r w:rsidR="00D903DB" w:rsidRPr="00707B40">
        <w:rPr>
          <w:rFonts w:ascii="Cambria" w:hAnsi="Cambria" w:cs="Arial"/>
        </w:rPr>
        <w:t>s</w:t>
      </w:r>
      <w:r w:rsidR="00BA690B" w:rsidRPr="00707B40">
        <w:rPr>
          <w:rFonts w:ascii="Cambria" w:hAnsi="Cambria" w:cs="Arial"/>
        </w:rPr>
        <w:t xml:space="preserve"> requirements</w:t>
      </w:r>
      <w:r w:rsidRPr="00707B40">
        <w:rPr>
          <w:rFonts w:ascii="Cambria" w:hAnsi="Cambria" w:cs="Arial"/>
        </w:rPr>
        <w:t>.</w:t>
      </w:r>
      <w:r w:rsidR="00AD1B44" w:rsidRPr="00707B40">
        <w:rPr>
          <w:rFonts w:ascii="Cambria" w:hAnsi="Cambria" w:cs="Arial"/>
        </w:rPr>
        <w:t xml:space="preserve"> For more risk warnings please refer to the Agreement and the relevant Risk </w:t>
      </w:r>
      <w:r w:rsidR="00D65218" w:rsidRPr="00707B40">
        <w:rPr>
          <w:rFonts w:ascii="Cambria" w:hAnsi="Cambria" w:cs="Arial"/>
        </w:rPr>
        <w:t>Disclosure Statement annexed to the Agreement.</w:t>
      </w:r>
    </w:p>
    <w:p w14:paraId="6FA428B1" w14:textId="77777777" w:rsidR="007C77E2" w:rsidRPr="00707B40" w:rsidRDefault="007C77E2" w:rsidP="00707B40">
      <w:pPr>
        <w:spacing w:after="120" w:line="360" w:lineRule="auto"/>
        <w:jc w:val="both"/>
        <w:rPr>
          <w:rFonts w:ascii="Cambria" w:hAnsi="Cambria" w:cs="Arial"/>
        </w:rPr>
      </w:pPr>
    </w:p>
    <w:p w14:paraId="07BA0D15" w14:textId="77777777" w:rsidR="007C77E2" w:rsidRPr="00707B40" w:rsidRDefault="007C77E2" w:rsidP="00707B40">
      <w:pPr>
        <w:spacing w:after="120" w:line="360" w:lineRule="auto"/>
        <w:jc w:val="both"/>
        <w:rPr>
          <w:rFonts w:ascii="Cambria" w:hAnsi="Cambria" w:cs="Arial"/>
          <w:u w:val="single"/>
        </w:rPr>
      </w:pPr>
      <w:r w:rsidRPr="00707B40">
        <w:rPr>
          <w:rFonts w:ascii="Cambria" w:hAnsi="Cambria" w:cs="Arial"/>
          <w:u w:val="single"/>
        </w:rPr>
        <w:lastRenderedPageBreak/>
        <w:t>Risks and rewards of major asset classes:</w:t>
      </w:r>
    </w:p>
    <w:p w14:paraId="07949EFF" w14:textId="77777777" w:rsidR="007C77E2" w:rsidRPr="00707B40" w:rsidRDefault="007C77E2" w:rsidP="00707B40">
      <w:pPr>
        <w:spacing w:after="120" w:line="360" w:lineRule="auto"/>
        <w:jc w:val="both"/>
        <w:rPr>
          <w:rFonts w:ascii="Cambria" w:hAnsi="Cambria" w:cs="Arial"/>
          <w:u w:val="single"/>
        </w:rPr>
      </w:pPr>
    </w:p>
    <w:p w14:paraId="6BA4513C" w14:textId="77777777" w:rsidR="007C77E2" w:rsidRPr="00707B40" w:rsidRDefault="007C77E2" w:rsidP="00707B40">
      <w:pPr>
        <w:spacing w:after="120" w:line="360" w:lineRule="auto"/>
        <w:jc w:val="both"/>
        <w:rPr>
          <w:rFonts w:ascii="Cambria" w:hAnsi="Cambria" w:cs="Arial"/>
          <w:b/>
          <w:i/>
        </w:rPr>
      </w:pPr>
      <w:r w:rsidRPr="00707B40">
        <w:rPr>
          <w:rFonts w:ascii="Cambria" w:hAnsi="Cambria" w:cs="Arial"/>
          <w:b/>
          <w:i/>
        </w:rPr>
        <w:t>Equities and Derivatives</w:t>
      </w:r>
      <w:r w:rsidR="00C9718B" w:rsidRPr="00707B40">
        <w:rPr>
          <w:rFonts w:ascii="Cambria" w:hAnsi="Cambria" w:cs="Arial"/>
          <w:b/>
          <w:i/>
        </w:rPr>
        <w:t xml:space="preserve">  </w:t>
      </w:r>
    </w:p>
    <w:p w14:paraId="75C01113" w14:textId="77777777" w:rsidR="007C77E2" w:rsidRPr="00707B40" w:rsidRDefault="007C77E2" w:rsidP="00707B40">
      <w:pPr>
        <w:spacing w:after="120" w:line="360" w:lineRule="auto"/>
        <w:jc w:val="both"/>
        <w:rPr>
          <w:rFonts w:ascii="Cambria" w:hAnsi="Cambria" w:cs="Arial"/>
        </w:rPr>
      </w:pPr>
      <w:r w:rsidRPr="00707B40">
        <w:rPr>
          <w:rFonts w:ascii="Cambria" w:hAnsi="Cambria" w:cs="Arial"/>
        </w:rPr>
        <w:t xml:space="preserve">Can carry a </w:t>
      </w:r>
      <w:r w:rsidR="005D0EBE" w:rsidRPr="00707B40">
        <w:rPr>
          <w:rFonts w:ascii="Cambria" w:hAnsi="Cambria" w:cs="Arial"/>
        </w:rPr>
        <w:t>degree</w:t>
      </w:r>
      <w:r w:rsidRPr="00707B40">
        <w:rPr>
          <w:rFonts w:ascii="Cambria" w:hAnsi="Cambria" w:cs="Arial"/>
        </w:rPr>
        <w:t xml:space="preserve"> of market risk over the short term due to fluctuating markets. </w:t>
      </w:r>
    </w:p>
    <w:p w14:paraId="645C0714" w14:textId="77777777" w:rsidR="003D2341" w:rsidRPr="00707B40" w:rsidRDefault="007C77E2" w:rsidP="00707B40">
      <w:pPr>
        <w:spacing w:after="120" w:line="360" w:lineRule="auto"/>
        <w:jc w:val="both"/>
        <w:rPr>
          <w:rFonts w:ascii="Cambria" w:hAnsi="Cambria" w:cs="Arial"/>
        </w:rPr>
      </w:pPr>
      <w:r w:rsidRPr="00707B40">
        <w:rPr>
          <w:rFonts w:ascii="Cambria" w:hAnsi="Cambria" w:cs="Arial"/>
        </w:rPr>
        <w:t>Historically earn higher long-term re</w:t>
      </w:r>
      <w:r w:rsidR="005D0EBE" w:rsidRPr="00707B40">
        <w:rPr>
          <w:rFonts w:ascii="Cambria" w:hAnsi="Cambria" w:cs="Arial"/>
        </w:rPr>
        <w:t>turns, compared to other traditional assets classes</w:t>
      </w:r>
      <w:r w:rsidR="0083732A" w:rsidRPr="00707B40">
        <w:rPr>
          <w:rFonts w:ascii="Cambria" w:hAnsi="Cambria" w:cs="Arial"/>
        </w:rPr>
        <w:t>, such as fixed income instruments, money market instruments and</w:t>
      </w:r>
      <w:r w:rsidR="007909CE" w:rsidRPr="00707B40">
        <w:rPr>
          <w:rFonts w:ascii="Cambria" w:hAnsi="Cambria" w:cs="Arial"/>
        </w:rPr>
        <w:t xml:space="preserve"> are</w:t>
      </w:r>
      <w:r w:rsidR="0083732A" w:rsidRPr="00707B40">
        <w:rPr>
          <w:rFonts w:ascii="Cambria" w:hAnsi="Cambria" w:cs="Arial"/>
        </w:rPr>
        <w:t xml:space="preserve"> more sensitive to economic and business cycles.</w:t>
      </w:r>
    </w:p>
    <w:p w14:paraId="398869CD" w14:textId="77777777" w:rsidR="007C77E2" w:rsidRPr="00707B40" w:rsidRDefault="007C77E2" w:rsidP="00707B40">
      <w:pPr>
        <w:spacing w:after="120" w:line="360" w:lineRule="auto"/>
        <w:jc w:val="both"/>
        <w:rPr>
          <w:rFonts w:ascii="Cambria" w:hAnsi="Cambria" w:cs="Arial"/>
        </w:rPr>
      </w:pPr>
    </w:p>
    <w:p w14:paraId="414FA7A7" w14:textId="77777777" w:rsidR="003D2341" w:rsidRPr="00707B40" w:rsidRDefault="0083732A" w:rsidP="00707B40">
      <w:pPr>
        <w:spacing w:after="120" w:line="360" w:lineRule="auto"/>
        <w:jc w:val="both"/>
        <w:rPr>
          <w:rFonts w:ascii="Cambria" w:hAnsi="Cambria" w:cs="Arial"/>
          <w:b/>
          <w:i/>
        </w:rPr>
      </w:pPr>
      <w:r w:rsidRPr="00707B40">
        <w:rPr>
          <w:rFonts w:ascii="Cambria" w:hAnsi="Cambria" w:cs="Arial"/>
          <w:b/>
          <w:i/>
        </w:rPr>
        <w:t>Fixed Income Instruments</w:t>
      </w:r>
    </w:p>
    <w:p w14:paraId="44F5178A" w14:textId="77777777" w:rsidR="007C77E2" w:rsidRPr="00707B40" w:rsidRDefault="007C77E2" w:rsidP="00707B40">
      <w:pPr>
        <w:spacing w:after="120" w:line="360" w:lineRule="auto"/>
        <w:jc w:val="both"/>
        <w:rPr>
          <w:rFonts w:ascii="Cambria" w:hAnsi="Cambria" w:cs="Arial"/>
        </w:rPr>
      </w:pPr>
      <w:r w:rsidRPr="00707B40">
        <w:rPr>
          <w:rFonts w:ascii="Cambria" w:hAnsi="Cambria" w:cs="Arial"/>
        </w:rPr>
        <w:t xml:space="preserve">Generally </w:t>
      </w:r>
      <w:r w:rsidR="0083732A" w:rsidRPr="00707B40">
        <w:rPr>
          <w:rFonts w:ascii="Cambria" w:hAnsi="Cambria" w:cs="Arial"/>
        </w:rPr>
        <w:t>perceived to have</w:t>
      </w:r>
      <w:r w:rsidRPr="00707B40">
        <w:rPr>
          <w:rFonts w:ascii="Cambria" w:hAnsi="Cambria" w:cs="Arial"/>
        </w:rPr>
        <w:t xml:space="preserve"> less price fluctuations than stocks and therefore offer lower market risk</w:t>
      </w:r>
      <w:r w:rsidR="0083732A" w:rsidRPr="00707B40">
        <w:rPr>
          <w:rFonts w:ascii="Cambria" w:hAnsi="Cambria" w:cs="Arial"/>
        </w:rPr>
        <w:t>.</w:t>
      </w:r>
    </w:p>
    <w:p w14:paraId="0994D5CA" w14:textId="77777777" w:rsidR="007C77E2" w:rsidRPr="00707B40" w:rsidRDefault="003D2341" w:rsidP="00707B40">
      <w:pPr>
        <w:spacing w:after="120" w:line="360" w:lineRule="auto"/>
        <w:jc w:val="both"/>
        <w:rPr>
          <w:rFonts w:ascii="Cambria" w:hAnsi="Cambria" w:cs="Arial"/>
        </w:rPr>
      </w:pPr>
      <w:r w:rsidRPr="00707B40">
        <w:rPr>
          <w:rFonts w:ascii="Cambria" w:hAnsi="Cambria" w:cs="Arial"/>
        </w:rPr>
        <w:t>T</w:t>
      </w:r>
      <w:r w:rsidR="007C77E2" w:rsidRPr="00707B40">
        <w:rPr>
          <w:rFonts w:ascii="Cambria" w:hAnsi="Cambria" w:cs="Arial"/>
        </w:rPr>
        <w:t>end to provide lower long-term returns and have higher inflation risks over time</w:t>
      </w:r>
    </w:p>
    <w:p w14:paraId="2DDA52E4" w14:textId="77777777" w:rsidR="003D2341" w:rsidRPr="00707B40" w:rsidRDefault="003D2341" w:rsidP="00707B40">
      <w:pPr>
        <w:spacing w:after="120" w:line="360" w:lineRule="auto"/>
        <w:jc w:val="both"/>
        <w:rPr>
          <w:rFonts w:ascii="Cambria" w:hAnsi="Cambria" w:cs="Arial"/>
          <w:b/>
        </w:rPr>
      </w:pPr>
    </w:p>
    <w:p w14:paraId="2BAACA9F" w14:textId="77777777" w:rsidR="007C77E2" w:rsidRPr="00707B40" w:rsidRDefault="007C77E2" w:rsidP="00707B40">
      <w:pPr>
        <w:spacing w:after="120" w:line="360" w:lineRule="auto"/>
        <w:jc w:val="both"/>
        <w:rPr>
          <w:rFonts w:ascii="Cambria" w:hAnsi="Cambria" w:cs="Arial"/>
          <w:b/>
          <w:i/>
        </w:rPr>
      </w:pPr>
      <w:r w:rsidRPr="00707B40">
        <w:rPr>
          <w:rFonts w:ascii="Cambria" w:hAnsi="Cambria" w:cs="Arial"/>
          <w:b/>
          <w:i/>
        </w:rPr>
        <w:t>Money market instruments</w:t>
      </w:r>
      <w:r w:rsidR="0083732A" w:rsidRPr="00707B40">
        <w:rPr>
          <w:rFonts w:ascii="Cambria" w:hAnsi="Cambria" w:cs="Arial"/>
          <w:b/>
          <w:i/>
        </w:rPr>
        <w:t>/Cash</w:t>
      </w:r>
    </w:p>
    <w:p w14:paraId="7F3FBA09" w14:textId="77777777" w:rsidR="003D2341" w:rsidRPr="00707B40" w:rsidRDefault="007C77E2" w:rsidP="00707B40">
      <w:pPr>
        <w:spacing w:after="120" w:line="360" w:lineRule="auto"/>
        <w:jc w:val="both"/>
        <w:rPr>
          <w:rFonts w:ascii="Cambria" w:hAnsi="Cambria" w:cs="Arial"/>
        </w:rPr>
      </w:pPr>
      <w:r w:rsidRPr="00707B40">
        <w:rPr>
          <w:rFonts w:ascii="Cambria" w:hAnsi="Cambria" w:cs="Arial"/>
        </w:rPr>
        <w:t>Among the most stable of all asset classes in terms of returns, money market ins</w:t>
      </w:r>
      <w:r w:rsidR="003D2341" w:rsidRPr="00707B40">
        <w:rPr>
          <w:rFonts w:ascii="Cambria" w:hAnsi="Cambria" w:cs="Arial"/>
        </w:rPr>
        <w:t xml:space="preserve">truments carry low market risk. </w:t>
      </w:r>
    </w:p>
    <w:p w14:paraId="2ACCE7C0" w14:textId="77777777" w:rsidR="00455C33" w:rsidRPr="00707B40" w:rsidRDefault="00455C33" w:rsidP="00707B40">
      <w:pPr>
        <w:spacing w:after="120" w:line="360" w:lineRule="auto"/>
        <w:jc w:val="both"/>
        <w:rPr>
          <w:rFonts w:ascii="Cambria" w:hAnsi="Cambria" w:cs="Times New Roman"/>
          <w:b/>
        </w:rPr>
      </w:pPr>
    </w:p>
    <w:p w14:paraId="7DF62EC7" w14:textId="51F65F6A" w:rsidR="008E377D" w:rsidRPr="00707B40" w:rsidRDefault="008E377D" w:rsidP="00707B40">
      <w:pPr>
        <w:pStyle w:val="ListParagraph"/>
        <w:numPr>
          <w:ilvl w:val="0"/>
          <w:numId w:val="26"/>
        </w:numPr>
        <w:spacing w:after="120" w:line="360" w:lineRule="auto"/>
        <w:jc w:val="both"/>
        <w:rPr>
          <w:rFonts w:ascii="Cambria" w:hAnsi="Cambria"/>
          <w:b/>
          <w:sz w:val="22"/>
          <w:szCs w:val="22"/>
          <w:u w:val="single"/>
        </w:rPr>
      </w:pPr>
      <w:r w:rsidRPr="00707B40">
        <w:rPr>
          <w:rFonts w:ascii="Cambria" w:hAnsi="Cambria"/>
          <w:b/>
          <w:sz w:val="22"/>
          <w:szCs w:val="22"/>
          <w:u w:val="single"/>
        </w:rPr>
        <w:t xml:space="preserve">Available Investment Strategies </w:t>
      </w:r>
    </w:p>
    <w:p w14:paraId="73B75752" w14:textId="7C3805BA" w:rsidR="008E377D" w:rsidRPr="00707B40" w:rsidRDefault="008E377D" w:rsidP="00707B40">
      <w:pPr>
        <w:spacing w:after="120" w:line="360" w:lineRule="auto"/>
        <w:jc w:val="both"/>
        <w:rPr>
          <w:rFonts w:ascii="Cambria" w:hAnsi="Cambria"/>
        </w:rPr>
      </w:pPr>
      <w:r w:rsidRPr="00707B40">
        <w:rPr>
          <w:rFonts w:ascii="Cambria" w:hAnsi="Cambria"/>
        </w:rPr>
        <w:t xml:space="preserve">The Portfolio Manager has 3 (Three) available Investment Strategies. According to the Suitability Assessment, the Client has been assigned the strategy masked so. </w:t>
      </w:r>
    </w:p>
    <w:tbl>
      <w:tblPr>
        <w:tblStyle w:val="TableGrid0"/>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2552"/>
        <w:gridCol w:w="1944"/>
        <w:gridCol w:w="2592"/>
      </w:tblGrid>
      <w:tr w:rsidR="008E377D" w:rsidRPr="00707B40" w14:paraId="4768419F" w14:textId="77777777" w:rsidTr="004D25F5">
        <w:tc>
          <w:tcPr>
            <w:tcW w:w="2830" w:type="dxa"/>
          </w:tcPr>
          <w:p w14:paraId="14CD7956" w14:textId="282C6E37" w:rsidR="008E377D" w:rsidRPr="00707B40" w:rsidRDefault="008E377D" w:rsidP="00707B40">
            <w:pPr>
              <w:spacing w:after="120" w:line="360" w:lineRule="auto"/>
              <w:jc w:val="both"/>
              <w:rPr>
                <w:rFonts w:ascii="Cambria" w:hAnsi="Cambria"/>
              </w:rPr>
            </w:pPr>
            <w:r w:rsidRPr="00707B40">
              <w:rPr>
                <w:rFonts w:ascii="Cambria" w:hAnsi="Cambria"/>
              </w:rPr>
              <w:t>Investment Strategy</w:t>
            </w:r>
          </w:p>
        </w:tc>
        <w:tc>
          <w:tcPr>
            <w:tcW w:w="2552" w:type="dxa"/>
            <w:shd w:val="clear" w:color="auto" w:fill="FFFFFF" w:themeFill="background1"/>
          </w:tcPr>
          <w:p w14:paraId="29B4A798" w14:textId="0185414F" w:rsidR="008E377D" w:rsidRPr="00707B40" w:rsidRDefault="008E377D" w:rsidP="00707B40">
            <w:pPr>
              <w:spacing w:after="120" w:line="360" w:lineRule="auto"/>
              <w:jc w:val="both"/>
              <w:rPr>
                <w:rFonts w:ascii="Cambria" w:hAnsi="Cambria"/>
              </w:rPr>
            </w:pPr>
            <w:r w:rsidRPr="00707B40">
              <w:rPr>
                <w:rFonts w:ascii="Cambria" w:hAnsi="Cambria"/>
              </w:rPr>
              <w:t>Permitted strategy</w:t>
            </w:r>
            <w:r w:rsidR="00361C89" w:rsidRPr="00707B40">
              <w:rPr>
                <w:rFonts w:ascii="Cambria" w:hAnsi="Cambria"/>
              </w:rPr>
              <w:t xml:space="preserve"> (select one)</w:t>
            </w:r>
          </w:p>
        </w:tc>
        <w:tc>
          <w:tcPr>
            <w:tcW w:w="1944" w:type="dxa"/>
            <w:shd w:val="clear" w:color="auto" w:fill="FFFFFF" w:themeFill="background1"/>
          </w:tcPr>
          <w:p w14:paraId="128E3369" w14:textId="15B15FAC" w:rsidR="008E377D" w:rsidRPr="00707B40" w:rsidRDefault="008E377D" w:rsidP="00707B40">
            <w:pPr>
              <w:spacing w:after="120" w:line="360" w:lineRule="auto"/>
              <w:rPr>
                <w:rFonts w:ascii="Cambria" w:hAnsi="Cambria"/>
                <w:lang w:val="en-GB"/>
              </w:rPr>
            </w:pPr>
            <w:r w:rsidRPr="00707B40">
              <w:rPr>
                <w:rFonts w:ascii="Cambria" w:hAnsi="Cambria"/>
              </w:rPr>
              <w:t>Date</w:t>
            </w:r>
            <w:r w:rsidR="005A1EBD" w:rsidRPr="00707B40">
              <w:rPr>
                <w:rFonts w:ascii="Cambria" w:hAnsi="Cambria"/>
                <w:lang w:val="en-GB"/>
              </w:rPr>
              <w:t xml:space="preserve"> of Agreement</w:t>
            </w:r>
          </w:p>
        </w:tc>
        <w:tc>
          <w:tcPr>
            <w:tcW w:w="2592" w:type="dxa"/>
          </w:tcPr>
          <w:p w14:paraId="7456F7AB" w14:textId="322E15EF" w:rsidR="008E377D" w:rsidRPr="00707B40" w:rsidRDefault="008E377D" w:rsidP="00707B40">
            <w:pPr>
              <w:spacing w:after="120" w:line="360" w:lineRule="auto"/>
              <w:jc w:val="both"/>
              <w:rPr>
                <w:rFonts w:ascii="Cambria" w:hAnsi="Cambria"/>
              </w:rPr>
            </w:pPr>
            <w:r w:rsidRPr="00707B40">
              <w:rPr>
                <w:rFonts w:ascii="Cambria" w:hAnsi="Cambria"/>
              </w:rPr>
              <w:t xml:space="preserve">Change of </w:t>
            </w:r>
            <w:proofErr w:type="gramStart"/>
            <w:r w:rsidRPr="00707B40">
              <w:rPr>
                <w:rFonts w:ascii="Cambria" w:hAnsi="Cambria"/>
              </w:rPr>
              <w:t>Strategy, if</w:t>
            </w:r>
            <w:proofErr w:type="gramEnd"/>
            <w:r w:rsidRPr="00707B40">
              <w:rPr>
                <w:rFonts w:ascii="Cambria" w:hAnsi="Cambria"/>
              </w:rPr>
              <w:t xml:space="preserve"> any</w:t>
            </w:r>
          </w:p>
        </w:tc>
      </w:tr>
      <w:tr w:rsidR="008E377D" w:rsidRPr="00707B40" w14:paraId="4072AFCF" w14:textId="77777777" w:rsidTr="004D25F5">
        <w:tc>
          <w:tcPr>
            <w:tcW w:w="2830" w:type="dxa"/>
          </w:tcPr>
          <w:p w14:paraId="05AA5D30" w14:textId="5722709E" w:rsidR="008E377D" w:rsidRPr="00707B40" w:rsidRDefault="008E377D" w:rsidP="00707B40">
            <w:pPr>
              <w:spacing w:after="120" w:line="360" w:lineRule="auto"/>
              <w:jc w:val="both"/>
              <w:rPr>
                <w:rFonts w:ascii="Cambria" w:hAnsi="Cambria"/>
              </w:rPr>
            </w:pPr>
            <w:r w:rsidRPr="00707B40">
              <w:rPr>
                <w:rFonts w:ascii="Cambria" w:hAnsi="Cambria"/>
              </w:rPr>
              <w:t>Balanced Strategy</w:t>
            </w:r>
          </w:p>
        </w:tc>
        <w:tc>
          <w:tcPr>
            <w:tcW w:w="2552" w:type="dxa"/>
            <w:shd w:val="clear" w:color="auto" w:fill="FFFFFF" w:themeFill="background1"/>
          </w:tcPr>
          <w:p w14:paraId="73C5A78B" w14:textId="77777777" w:rsidR="008E377D" w:rsidRPr="00707B40" w:rsidRDefault="008E377D" w:rsidP="00707B40">
            <w:pPr>
              <w:spacing w:after="120" w:line="360" w:lineRule="auto"/>
              <w:jc w:val="both"/>
              <w:rPr>
                <w:rFonts w:ascii="Cambria" w:hAnsi="Cambria"/>
              </w:rPr>
            </w:pPr>
          </w:p>
        </w:tc>
        <w:tc>
          <w:tcPr>
            <w:tcW w:w="1944" w:type="dxa"/>
            <w:shd w:val="clear" w:color="auto" w:fill="FFFFFF" w:themeFill="background1"/>
          </w:tcPr>
          <w:p w14:paraId="00B966AD" w14:textId="77777777" w:rsidR="008E377D" w:rsidRPr="00707B40" w:rsidRDefault="008E377D" w:rsidP="00707B40">
            <w:pPr>
              <w:spacing w:after="120" w:line="360" w:lineRule="auto"/>
              <w:jc w:val="both"/>
              <w:rPr>
                <w:rFonts w:ascii="Cambria" w:hAnsi="Cambria"/>
              </w:rPr>
            </w:pPr>
          </w:p>
        </w:tc>
        <w:tc>
          <w:tcPr>
            <w:tcW w:w="2592" w:type="dxa"/>
          </w:tcPr>
          <w:p w14:paraId="63A4B2F8" w14:textId="77777777" w:rsidR="008E377D" w:rsidRPr="00707B40" w:rsidRDefault="008E377D" w:rsidP="00707B40">
            <w:pPr>
              <w:spacing w:after="120" w:line="360" w:lineRule="auto"/>
              <w:jc w:val="both"/>
              <w:rPr>
                <w:rFonts w:ascii="Cambria" w:hAnsi="Cambria"/>
              </w:rPr>
            </w:pPr>
          </w:p>
        </w:tc>
      </w:tr>
      <w:tr w:rsidR="008E377D" w:rsidRPr="00707B40" w14:paraId="2ED1BF76" w14:textId="77777777" w:rsidTr="004D25F5">
        <w:tc>
          <w:tcPr>
            <w:tcW w:w="2830" w:type="dxa"/>
          </w:tcPr>
          <w:p w14:paraId="0ACF63BB" w14:textId="218C3850" w:rsidR="008E377D" w:rsidRPr="00707B40" w:rsidRDefault="008E377D" w:rsidP="00707B40">
            <w:pPr>
              <w:spacing w:after="120" w:line="360" w:lineRule="auto"/>
              <w:jc w:val="both"/>
              <w:rPr>
                <w:rFonts w:ascii="Cambria" w:hAnsi="Cambria"/>
              </w:rPr>
            </w:pPr>
            <w:r w:rsidRPr="00707B40">
              <w:rPr>
                <w:rFonts w:ascii="Cambria" w:hAnsi="Cambria"/>
              </w:rPr>
              <w:t>Capital Growth Strategy</w:t>
            </w:r>
          </w:p>
        </w:tc>
        <w:tc>
          <w:tcPr>
            <w:tcW w:w="2552" w:type="dxa"/>
            <w:shd w:val="clear" w:color="auto" w:fill="FFFFFF" w:themeFill="background1"/>
          </w:tcPr>
          <w:p w14:paraId="5131B401" w14:textId="77777777" w:rsidR="008E377D" w:rsidRPr="00707B40" w:rsidRDefault="008E377D" w:rsidP="00707B40">
            <w:pPr>
              <w:spacing w:after="120" w:line="360" w:lineRule="auto"/>
              <w:jc w:val="both"/>
              <w:rPr>
                <w:rFonts w:ascii="Cambria" w:hAnsi="Cambria"/>
              </w:rPr>
            </w:pPr>
          </w:p>
        </w:tc>
        <w:tc>
          <w:tcPr>
            <w:tcW w:w="1944" w:type="dxa"/>
            <w:shd w:val="clear" w:color="auto" w:fill="FFFFFF" w:themeFill="background1"/>
          </w:tcPr>
          <w:p w14:paraId="7AD3779B" w14:textId="77777777" w:rsidR="008E377D" w:rsidRPr="00707B40" w:rsidRDefault="008E377D" w:rsidP="00707B40">
            <w:pPr>
              <w:spacing w:after="120" w:line="360" w:lineRule="auto"/>
              <w:jc w:val="both"/>
              <w:rPr>
                <w:rFonts w:ascii="Cambria" w:hAnsi="Cambria"/>
              </w:rPr>
            </w:pPr>
          </w:p>
        </w:tc>
        <w:tc>
          <w:tcPr>
            <w:tcW w:w="2592" w:type="dxa"/>
          </w:tcPr>
          <w:p w14:paraId="1DA06F12" w14:textId="77777777" w:rsidR="008E377D" w:rsidRPr="00707B40" w:rsidRDefault="008E377D" w:rsidP="00707B40">
            <w:pPr>
              <w:spacing w:after="120" w:line="360" w:lineRule="auto"/>
              <w:jc w:val="both"/>
              <w:rPr>
                <w:rFonts w:ascii="Cambria" w:hAnsi="Cambria"/>
              </w:rPr>
            </w:pPr>
          </w:p>
        </w:tc>
      </w:tr>
      <w:tr w:rsidR="008E377D" w:rsidRPr="00707B40" w14:paraId="5075A7A9" w14:textId="77777777" w:rsidTr="004D25F5">
        <w:tc>
          <w:tcPr>
            <w:tcW w:w="2830" w:type="dxa"/>
          </w:tcPr>
          <w:p w14:paraId="3FAAD501" w14:textId="56EC99BC" w:rsidR="008E377D" w:rsidRPr="00707B40" w:rsidRDefault="00D441A9" w:rsidP="00707B40">
            <w:pPr>
              <w:spacing w:after="120" w:line="360" w:lineRule="auto"/>
              <w:jc w:val="both"/>
              <w:rPr>
                <w:rFonts w:ascii="Cambria" w:hAnsi="Cambria"/>
              </w:rPr>
            </w:pPr>
            <w:r w:rsidRPr="00707B40">
              <w:rPr>
                <w:rFonts w:ascii="Cambria" w:hAnsi="Cambria"/>
              </w:rPr>
              <w:t>Speculative Strategy</w:t>
            </w:r>
          </w:p>
        </w:tc>
        <w:tc>
          <w:tcPr>
            <w:tcW w:w="2552" w:type="dxa"/>
            <w:shd w:val="clear" w:color="auto" w:fill="FFFFFF" w:themeFill="background1"/>
          </w:tcPr>
          <w:p w14:paraId="17BA579D" w14:textId="77777777" w:rsidR="008E377D" w:rsidRPr="00707B40" w:rsidRDefault="008E377D" w:rsidP="00707B40">
            <w:pPr>
              <w:spacing w:after="120" w:line="360" w:lineRule="auto"/>
              <w:jc w:val="both"/>
              <w:rPr>
                <w:rFonts w:ascii="Cambria" w:hAnsi="Cambria"/>
              </w:rPr>
            </w:pPr>
          </w:p>
        </w:tc>
        <w:tc>
          <w:tcPr>
            <w:tcW w:w="1944" w:type="dxa"/>
            <w:shd w:val="clear" w:color="auto" w:fill="FFFFFF" w:themeFill="background1"/>
          </w:tcPr>
          <w:p w14:paraId="62BFEA1D" w14:textId="77777777" w:rsidR="008E377D" w:rsidRPr="00707B40" w:rsidRDefault="008E377D" w:rsidP="00707B40">
            <w:pPr>
              <w:spacing w:after="120" w:line="360" w:lineRule="auto"/>
              <w:jc w:val="both"/>
              <w:rPr>
                <w:rFonts w:ascii="Cambria" w:hAnsi="Cambria"/>
              </w:rPr>
            </w:pPr>
          </w:p>
        </w:tc>
        <w:tc>
          <w:tcPr>
            <w:tcW w:w="2592" w:type="dxa"/>
          </w:tcPr>
          <w:p w14:paraId="778550B2" w14:textId="77777777" w:rsidR="008E377D" w:rsidRPr="00707B40" w:rsidRDefault="008E377D" w:rsidP="00707B40">
            <w:pPr>
              <w:spacing w:after="120" w:line="360" w:lineRule="auto"/>
              <w:jc w:val="both"/>
              <w:rPr>
                <w:rFonts w:ascii="Cambria" w:hAnsi="Cambria"/>
              </w:rPr>
            </w:pPr>
          </w:p>
        </w:tc>
      </w:tr>
    </w:tbl>
    <w:p w14:paraId="0C40A982" w14:textId="77777777" w:rsidR="008E377D" w:rsidRPr="00707B40" w:rsidRDefault="008E377D" w:rsidP="00707B40">
      <w:pPr>
        <w:spacing w:after="120" w:line="360" w:lineRule="auto"/>
        <w:jc w:val="both"/>
        <w:rPr>
          <w:rFonts w:ascii="Cambria" w:hAnsi="Cambria"/>
        </w:rPr>
      </w:pPr>
    </w:p>
    <w:p w14:paraId="096221EE" w14:textId="698DFC6D" w:rsidR="00DD1C51" w:rsidRDefault="00DD1C51" w:rsidP="00707B40">
      <w:pPr>
        <w:spacing w:after="120" w:line="360" w:lineRule="auto"/>
        <w:jc w:val="both"/>
        <w:rPr>
          <w:rFonts w:ascii="Cambria" w:hAnsi="Cambria"/>
        </w:rPr>
      </w:pPr>
      <w:r w:rsidRPr="00707B40">
        <w:rPr>
          <w:rFonts w:ascii="Cambria" w:hAnsi="Cambria"/>
        </w:rPr>
        <w:t xml:space="preserve">By assigning a permitted strategy and by indicating the Allocation of the Portfolio of the Client the Portfolio Manager fulfils its obligation to report to the Client on the Suitability Assessment results. </w:t>
      </w:r>
    </w:p>
    <w:p w14:paraId="0719C4A9" w14:textId="77777777" w:rsidR="00707B40" w:rsidRPr="00707B40" w:rsidRDefault="00707B40" w:rsidP="00707B40">
      <w:pPr>
        <w:spacing w:after="120" w:line="360" w:lineRule="auto"/>
        <w:jc w:val="both"/>
        <w:rPr>
          <w:rFonts w:ascii="Cambria" w:hAnsi="Cambria"/>
        </w:rPr>
      </w:pPr>
    </w:p>
    <w:p w14:paraId="63AA39AE" w14:textId="5DC4D366" w:rsidR="00455C33" w:rsidRPr="00707B40" w:rsidRDefault="00455C33" w:rsidP="00707B40">
      <w:pPr>
        <w:pStyle w:val="ListParagraph"/>
        <w:numPr>
          <w:ilvl w:val="0"/>
          <w:numId w:val="26"/>
        </w:numPr>
        <w:spacing w:after="120" w:line="360" w:lineRule="auto"/>
        <w:jc w:val="both"/>
        <w:rPr>
          <w:rFonts w:ascii="Cambria" w:hAnsi="Cambria"/>
          <w:b/>
          <w:sz w:val="22"/>
          <w:szCs w:val="22"/>
          <w:u w:val="single"/>
        </w:rPr>
      </w:pPr>
      <w:r w:rsidRPr="00707B40">
        <w:rPr>
          <w:rFonts w:ascii="Cambria" w:hAnsi="Cambria"/>
          <w:b/>
          <w:sz w:val="22"/>
          <w:szCs w:val="22"/>
          <w:u w:val="single"/>
        </w:rPr>
        <w:lastRenderedPageBreak/>
        <w:t>Use of Leverage</w:t>
      </w:r>
    </w:p>
    <w:p w14:paraId="266B4B3C" w14:textId="674D3CA4" w:rsidR="00455C33" w:rsidRPr="00707B40" w:rsidRDefault="00606546" w:rsidP="00707B40">
      <w:pPr>
        <w:spacing w:after="120" w:line="360" w:lineRule="auto"/>
        <w:jc w:val="both"/>
        <w:rPr>
          <w:rFonts w:ascii="Cambria" w:hAnsi="Cambria" w:cs="Arial"/>
        </w:rPr>
      </w:pPr>
      <w:r w:rsidRPr="00707B40">
        <w:rPr>
          <w:rFonts w:ascii="Cambria" w:hAnsi="Cambria" w:cs="Arial"/>
        </w:rPr>
        <w:t>Leverage is not allowed for Retail C</w:t>
      </w:r>
      <w:r w:rsidR="00381CA0" w:rsidRPr="00707B40">
        <w:rPr>
          <w:rFonts w:ascii="Cambria" w:hAnsi="Cambria" w:cs="Arial"/>
        </w:rPr>
        <w:t xml:space="preserve">lients. </w:t>
      </w:r>
      <w:r w:rsidRPr="00707B40">
        <w:rPr>
          <w:rFonts w:ascii="Cambria" w:hAnsi="Cambria" w:cs="Arial"/>
        </w:rPr>
        <w:t xml:space="preserve">Leverage shall not be used in the Balanced Strategy. </w:t>
      </w:r>
    </w:p>
    <w:p w14:paraId="7041C0A8" w14:textId="77777777" w:rsidR="00707B40" w:rsidRDefault="00707B40" w:rsidP="00707B40">
      <w:pPr>
        <w:spacing w:after="120" w:line="360" w:lineRule="auto"/>
        <w:jc w:val="both"/>
        <w:rPr>
          <w:rFonts w:ascii="Cambria" w:hAnsi="Cambria" w:cs="Arial"/>
        </w:rPr>
      </w:pPr>
    </w:p>
    <w:p w14:paraId="5EFBDA61" w14:textId="029A3076" w:rsidR="00125BFB" w:rsidRPr="00707B40" w:rsidRDefault="00606546" w:rsidP="00707B40">
      <w:pPr>
        <w:spacing w:after="120" w:line="360" w:lineRule="auto"/>
        <w:jc w:val="both"/>
        <w:rPr>
          <w:rFonts w:ascii="Cambria" w:hAnsi="Cambria" w:cs="Arial"/>
        </w:rPr>
      </w:pPr>
      <w:r w:rsidRPr="00707B40">
        <w:rPr>
          <w:rFonts w:ascii="Cambria" w:hAnsi="Cambria" w:cs="Arial"/>
        </w:rPr>
        <w:t>Leverage is allowed for Non-retail Clients (</w:t>
      </w:r>
      <w:proofErr w:type="gramStart"/>
      <w:r w:rsidRPr="00707B40">
        <w:rPr>
          <w:rFonts w:ascii="Cambria" w:hAnsi="Cambria" w:cs="Arial"/>
        </w:rPr>
        <w:t>i.e.</w:t>
      </w:r>
      <w:proofErr w:type="gramEnd"/>
      <w:r w:rsidRPr="00707B40">
        <w:rPr>
          <w:rFonts w:ascii="Cambria" w:hAnsi="Cambria" w:cs="Arial"/>
        </w:rPr>
        <w:t xml:space="preserve"> Professional Clients and Eligible Counterparties). Leverage will be used in the Capital Growth Strategy and the Speculative Strategy.  </w:t>
      </w:r>
    </w:p>
    <w:p w14:paraId="06A5021C" w14:textId="77777777" w:rsidR="00707B40" w:rsidRPr="00707B40" w:rsidRDefault="00125BFB" w:rsidP="00707B40">
      <w:pPr>
        <w:pStyle w:val="Title"/>
        <w:spacing w:after="120" w:line="360" w:lineRule="auto"/>
        <w:jc w:val="left"/>
        <w:rPr>
          <w:rFonts w:ascii="Cambria" w:hAnsi="Cambria" w:cs="Arial"/>
          <w:b w:val="0"/>
          <w:bCs/>
          <w:sz w:val="22"/>
          <w:szCs w:val="22"/>
        </w:rPr>
      </w:pPr>
      <w:r w:rsidRPr="00707B40">
        <w:rPr>
          <w:rFonts w:ascii="Cambria" w:hAnsi="Cambria" w:cs="Arial"/>
          <w:b w:val="0"/>
          <w:bCs/>
          <w:sz w:val="22"/>
          <w:szCs w:val="22"/>
        </w:rPr>
        <w:t xml:space="preserve">Where leverage is permitted in the strategy, the Investment Manager is fully authorized and granted powers by the Client to invest in financial products and/or instruments in its sole discretion and with use of leverage of up to </w:t>
      </w:r>
      <w:proofErr w:type="gramStart"/>
      <w:r w:rsidRPr="00707B40">
        <w:rPr>
          <w:rFonts w:ascii="Cambria" w:hAnsi="Cambria" w:cs="Arial"/>
          <w:b w:val="0"/>
          <w:bCs/>
          <w:sz w:val="22"/>
          <w:szCs w:val="22"/>
        </w:rPr>
        <w:t>1 :</w:t>
      </w:r>
      <w:proofErr w:type="gramEnd"/>
      <w:r w:rsidRPr="00707B40">
        <w:rPr>
          <w:rFonts w:ascii="Cambria" w:hAnsi="Cambria" w:cs="Arial"/>
          <w:b w:val="0"/>
          <w:bCs/>
          <w:sz w:val="22"/>
          <w:szCs w:val="22"/>
        </w:rPr>
        <w:t xml:space="preserve"> </w:t>
      </w:r>
      <w:r w:rsidR="00F27BFB" w:rsidRPr="00707B40">
        <w:rPr>
          <w:rFonts w:ascii="Cambria" w:hAnsi="Cambria" w:cs="Arial"/>
          <w:b w:val="0"/>
          <w:bCs/>
          <w:sz w:val="22"/>
          <w:szCs w:val="22"/>
        </w:rPr>
        <w:t>3</w:t>
      </w:r>
      <w:r w:rsidRPr="00707B40">
        <w:rPr>
          <w:rFonts w:ascii="Cambria" w:hAnsi="Cambria" w:cs="Arial"/>
          <w:b w:val="0"/>
          <w:bCs/>
          <w:sz w:val="22"/>
          <w:szCs w:val="22"/>
        </w:rPr>
        <w:t xml:space="preserve"> of total value of Client’s Portfolio. The use of leverage may be applied to an individual financial product and/or instrument as well as to the whole value of Client’s Portfolio.</w:t>
      </w:r>
      <w:r w:rsidR="00707B40" w:rsidRPr="00707B40">
        <w:rPr>
          <w:rFonts w:ascii="Cambria" w:hAnsi="Cambria" w:cs="Arial"/>
          <w:b w:val="0"/>
          <w:bCs/>
          <w:sz w:val="22"/>
          <w:szCs w:val="22"/>
        </w:rPr>
        <w:t xml:space="preserve"> </w:t>
      </w:r>
    </w:p>
    <w:p w14:paraId="11FBEBB1" w14:textId="06380985" w:rsidR="00707B40" w:rsidRDefault="00707B40" w:rsidP="00707B40">
      <w:pPr>
        <w:pStyle w:val="Title"/>
        <w:spacing w:after="120" w:line="360" w:lineRule="auto"/>
        <w:jc w:val="left"/>
        <w:rPr>
          <w:rFonts w:ascii="Cambria" w:hAnsi="Cambria" w:cs="Arial"/>
        </w:rPr>
      </w:pPr>
      <w:r w:rsidRPr="00707B40">
        <w:rPr>
          <w:rFonts w:ascii="Cambria" w:hAnsi="Cambria" w:cs="Arial"/>
          <w:sz w:val="22"/>
          <w:szCs w:val="22"/>
        </w:rPr>
        <w:t>Where leverage is permitted in the strategy, the Client hereby acknowledges and confirms his/her understanding that any investments made by the Investment Manager for the Client in the above-mentioned financial products and/or instruments carry an investment risk and may result in potential losses. The risk disclosures are extensively provided in the Portfolio Management Agreement and in the Risk Disclosure Statement which forms an integral part thereof. Any projections as to potential losses are estimates only and may not be realized in the future. Likewise, any information on past performance, where given, is not necessarily a guide to future performance</w:t>
      </w:r>
      <w:r w:rsidRPr="00707B40">
        <w:rPr>
          <w:rFonts w:ascii="Cambria" w:hAnsi="Cambria" w:cs="Arial"/>
        </w:rPr>
        <w:t xml:space="preserve">. </w:t>
      </w:r>
    </w:p>
    <w:p w14:paraId="2ED1F52E" w14:textId="77777777" w:rsidR="00707B40" w:rsidRPr="00707B40" w:rsidRDefault="00707B40" w:rsidP="00707B40">
      <w:pPr>
        <w:pStyle w:val="Title"/>
        <w:spacing w:after="120" w:line="360" w:lineRule="auto"/>
        <w:jc w:val="left"/>
        <w:rPr>
          <w:rFonts w:ascii="Cambria" w:eastAsiaTheme="minorHAnsi" w:hAnsi="Cambria" w:cs="Arial"/>
          <w:b w:val="0"/>
          <w:sz w:val="22"/>
          <w:szCs w:val="22"/>
          <w:lang w:eastAsia="en-US"/>
        </w:rPr>
      </w:pPr>
    </w:p>
    <w:p w14:paraId="646CF25C" w14:textId="77777777" w:rsidR="00707B40" w:rsidRPr="00707B40" w:rsidRDefault="00707B40" w:rsidP="00707B40">
      <w:pPr>
        <w:pStyle w:val="ListParagraph"/>
        <w:numPr>
          <w:ilvl w:val="0"/>
          <w:numId w:val="26"/>
        </w:numPr>
        <w:spacing w:after="120" w:line="360" w:lineRule="auto"/>
        <w:ind w:left="0" w:firstLine="0"/>
        <w:jc w:val="both"/>
        <w:rPr>
          <w:rFonts w:ascii="Cambria" w:hAnsi="Cambria"/>
          <w:b/>
          <w:sz w:val="22"/>
          <w:szCs w:val="22"/>
          <w:u w:val="single"/>
        </w:rPr>
      </w:pPr>
      <w:r w:rsidRPr="00707B40">
        <w:rPr>
          <w:rFonts w:ascii="Cambria" w:hAnsi="Cambria"/>
          <w:b/>
          <w:sz w:val="22"/>
          <w:szCs w:val="22"/>
          <w:u w:val="single"/>
        </w:rPr>
        <w:t>Investment Strategy Principles</w:t>
      </w:r>
    </w:p>
    <w:p w14:paraId="429A8CA9" w14:textId="77777777" w:rsidR="00707B40" w:rsidRPr="00707B40" w:rsidRDefault="00707B40" w:rsidP="00707B40">
      <w:pPr>
        <w:spacing w:after="120" w:line="360" w:lineRule="auto"/>
        <w:jc w:val="both"/>
        <w:rPr>
          <w:rFonts w:ascii="Cambria" w:hAnsi="Cambria" w:cs="Arial"/>
        </w:rPr>
      </w:pPr>
      <w:r w:rsidRPr="00707B40">
        <w:rPr>
          <w:rFonts w:ascii="Cambria" w:hAnsi="Cambria" w:cs="Arial"/>
        </w:rPr>
        <w:t xml:space="preserve">In setting our Investment Strategy, we seek to balance twin objectives: first, to achieve sufficient long-term returns, and second, to construct an investment portfolio that is well diversified and balanced. Our investment principles are based on macroeconomic parameters assessment, known as “Top-Down” approach with various portfolio characteristics: </w:t>
      </w:r>
    </w:p>
    <w:p w14:paraId="3E13160C" w14:textId="77777777" w:rsidR="00707B40" w:rsidRPr="00707B40" w:rsidRDefault="00707B40" w:rsidP="00707B40">
      <w:pPr>
        <w:spacing w:after="120" w:line="360" w:lineRule="auto"/>
        <w:jc w:val="both"/>
        <w:rPr>
          <w:rFonts w:ascii="Cambria" w:hAnsi="Cambria" w:cs="Arial"/>
        </w:rPr>
      </w:pPr>
    </w:p>
    <w:p w14:paraId="7D419E5A" w14:textId="77777777" w:rsidR="00707B40" w:rsidRPr="00707B40" w:rsidRDefault="00707B40" w:rsidP="00707B40">
      <w:pPr>
        <w:pStyle w:val="ListParagraph"/>
        <w:numPr>
          <w:ilvl w:val="0"/>
          <w:numId w:val="31"/>
        </w:numPr>
        <w:spacing w:after="120" w:line="360" w:lineRule="auto"/>
        <w:jc w:val="both"/>
        <w:rPr>
          <w:rFonts w:ascii="Cambria" w:eastAsiaTheme="minorHAnsi" w:hAnsi="Cambria" w:cs="Arial"/>
          <w:sz w:val="22"/>
          <w:szCs w:val="22"/>
          <w:lang w:eastAsia="en-US"/>
        </w:rPr>
      </w:pPr>
      <w:r w:rsidRPr="00707B40">
        <w:rPr>
          <w:rFonts w:ascii="Cambria" w:eastAsiaTheme="minorHAnsi" w:hAnsi="Cambria" w:cs="Arial"/>
          <w:sz w:val="22"/>
          <w:szCs w:val="22"/>
          <w:lang w:eastAsia="en-US"/>
        </w:rPr>
        <w:t xml:space="preserve">Each portfolio should be relatively low-cost, where Best Execution criteria </w:t>
      </w:r>
      <w:proofErr w:type="gramStart"/>
      <w:r w:rsidRPr="00707B40">
        <w:rPr>
          <w:rFonts w:ascii="Cambria" w:eastAsiaTheme="minorHAnsi" w:hAnsi="Cambria" w:cs="Arial"/>
          <w:sz w:val="22"/>
          <w:szCs w:val="22"/>
          <w:lang w:eastAsia="en-US"/>
        </w:rPr>
        <w:t>permit;</w:t>
      </w:r>
      <w:proofErr w:type="gramEnd"/>
    </w:p>
    <w:p w14:paraId="5964D449" w14:textId="77777777" w:rsidR="00707B40" w:rsidRPr="00707B40" w:rsidRDefault="00707B40" w:rsidP="00707B40">
      <w:pPr>
        <w:pStyle w:val="ListParagraph"/>
        <w:numPr>
          <w:ilvl w:val="0"/>
          <w:numId w:val="31"/>
        </w:numPr>
        <w:spacing w:after="120" w:line="360" w:lineRule="auto"/>
        <w:jc w:val="both"/>
        <w:rPr>
          <w:rFonts w:ascii="Cambria" w:eastAsiaTheme="minorHAnsi" w:hAnsi="Cambria" w:cs="Arial"/>
          <w:sz w:val="22"/>
          <w:szCs w:val="22"/>
          <w:lang w:eastAsia="en-US"/>
        </w:rPr>
      </w:pPr>
      <w:r w:rsidRPr="00707B40">
        <w:rPr>
          <w:rFonts w:ascii="Cambria" w:eastAsiaTheme="minorHAnsi" w:hAnsi="Cambria" w:cs="Arial"/>
          <w:sz w:val="22"/>
          <w:szCs w:val="22"/>
          <w:lang w:eastAsia="en-US"/>
        </w:rPr>
        <w:t>Each portfolio shall correspond to the MiFID classification of the client (retail-professional-eligible counterparty</w:t>
      </w:r>
      <w:proofErr w:type="gramStart"/>
      <w:r w:rsidRPr="00707B40">
        <w:rPr>
          <w:rFonts w:ascii="Cambria" w:eastAsiaTheme="minorHAnsi" w:hAnsi="Cambria" w:cs="Arial"/>
          <w:sz w:val="22"/>
          <w:szCs w:val="22"/>
          <w:lang w:eastAsia="en-US"/>
        </w:rPr>
        <w:t>);</w:t>
      </w:r>
      <w:proofErr w:type="gramEnd"/>
    </w:p>
    <w:p w14:paraId="0C30DC73" w14:textId="77777777" w:rsidR="00707B40" w:rsidRPr="00707B40" w:rsidRDefault="00707B40" w:rsidP="00707B40">
      <w:pPr>
        <w:pStyle w:val="ListParagraph"/>
        <w:numPr>
          <w:ilvl w:val="0"/>
          <w:numId w:val="31"/>
        </w:numPr>
        <w:spacing w:after="120" w:line="360" w:lineRule="auto"/>
        <w:jc w:val="both"/>
        <w:rPr>
          <w:rFonts w:ascii="Cambria" w:eastAsiaTheme="minorHAnsi" w:hAnsi="Cambria" w:cs="Arial"/>
          <w:sz w:val="22"/>
          <w:szCs w:val="22"/>
          <w:lang w:eastAsia="en-US"/>
        </w:rPr>
      </w:pPr>
      <w:r w:rsidRPr="00707B40">
        <w:rPr>
          <w:rFonts w:ascii="Cambria" w:eastAsiaTheme="minorHAnsi" w:hAnsi="Cambria" w:cs="Arial"/>
          <w:sz w:val="22"/>
          <w:szCs w:val="22"/>
          <w:lang w:eastAsia="en-US"/>
        </w:rPr>
        <w:t xml:space="preserve">Each portfolio shall be diversified within its area of </w:t>
      </w:r>
      <w:proofErr w:type="gramStart"/>
      <w:r w:rsidRPr="00707B40">
        <w:rPr>
          <w:rFonts w:ascii="Cambria" w:eastAsiaTheme="minorHAnsi" w:hAnsi="Cambria" w:cs="Arial"/>
          <w:sz w:val="22"/>
          <w:szCs w:val="22"/>
          <w:lang w:eastAsia="en-US"/>
        </w:rPr>
        <w:t>focus;</w:t>
      </w:r>
      <w:proofErr w:type="gramEnd"/>
    </w:p>
    <w:p w14:paraId="4985D8C8" w14:textId="77777777" w:rsidR="00707B40" w:rsidRPr="00707B40" w:rsidRDefault="00707B40" w:rsidP="00707B40">
      <w:pPr>
        <w:pStyle w:val="ListParagraph"/>
        <w:numPr>
          <w:ilvl w:val="0"/>
          <w:numId w:val="31"/>
        </w:numPr>
        <w:spacing w:after="120" w:line="360" w:lineRule="auto"/>
        <w:jc w:val="both"/>
        <w:rPr>
          <w:rFonts w:ascii="Cambria" w:eastAsiaTheme="minorHAnsi" w:hAnsi="Cambria" w:cs="Arial"/>
          <w:sz w:val="22"/>
          <w:szCs w:val="22"/>
          <w:lang w:eastAsia="en-US"/>
        </w:rPr>
      </w:pPr>
      <w:r w:rsidRPr="00707B40">
        <w:rPr>
          <w:rFonts w:ascii="Cambria" w:eastAsiaTheme="minorHAnsi" w:hAnsi="Cambria" w:cs="Arial"/>
          <w:sz w:val="22"/>
          <w:szCs w:val="22"/>
          <w:lang w:eastAsia="en-US"/>
        </w:rPr>
        <w:t xml:space="preserve">Each portfolio should capture asset-class </w:t>
      </w:r>
      <w:proofErr w:type="gramStart"/>
      <w:r w:rsidRPr="00707B40">
        <w:rPr>
          <w:rFonts w:ascii="Cambria" w:eastAsiaTheme="minorHAnsi" w:hAnsi="Cambria" w:cs="Arial"/>
          <w:sz w:val="22"/>
          <w:szCs w:val="22"/>
          <w:lang w:eastAsia="en-US"/>
        </w:rPr>
        <w:t>returns;</w:t>
      </w:r>
      <w:proofErr w:type="gramEnd"/>
      <w:r w:rsidRPr="00707B40">
        <w:rPr>
          <w:rFonts w:ascii="Cambria" w:eastAsiaTheme="minorHAnsi" w:hAnsi="Cambria" w:cs="Arial"/>
          <w:sz w:val="22"/>
          <w:szCs w:val="22"/>
          <w:lang w:eastAsia="en-US"/>
        </w:rPr>
        <w:t xml:space="preserve"> </w:t>
      </w:r>
    </w:p>
    <w:p w14:paraId="2EDA428E" w14:textId="77777777" w:rsidR="00707B40" w:rsidRPr="00707B40" w:rsidRDefault="00707B40" w:rsidP="00707B40">
      <w:pPr>
        <w:pStyle w:val="ListParagraph"/>
        <w:numPr>
          <w:ilvl w:val="0"/>
          <w:numId w:val="31"/>
        </w:numPr>
        <w:spacing w:after="120" w:line="360" w:lineRule="auto"/>
        <w:jc w:val="both"/>
        <w:rPr>
          <w:rFonts w:ascii="Cambria" w:eastAsiaTheme="minorHAnsi" w:hAnsi="Cambria" w:cs="Arial"/>
          <w:sz w:val="22"/>
          <w:szCs w:val="22"/>
          <w:lang w:eastAsia="en-US"/>
        </w:rPr>
      </w:pPr>
      <w:r w:rsidRPr="00707B40">
        <w:rPr>
          <w:rFonts w:ascii="Cambria" w:eastAsiaTheme="minorHAnsi" w:hAnsi="Cambria" w:cs="Arial"/>
          <w:sz w:val="22"/>
          <w:szCs w:val="22"/>
          <w:lang w:eastAsia="en-US"/>
        </w:rPr>
        <w:t xml:space="preserve">Each investment strategy should be easily understood by </w:t>
      </w:r>
      <w:proofErr w:type="gramStart"/>
      <w:r w:rsidRPr="00707B40">
        <w:rPr>
          <w:rFonts w:ascii="Cambria" w:eastAsiaTheme="minorHAnsi" w:hAnsi="Cambria" w:cs="Arial"/>
          <w:sz w:val="22"/>
          <w:szCs w:val="22"/>
          <w:lang w:eastAsia="en-US"/>
        </w:rPr>
        <w:t>investor;</w:t>
      </w:r>
      <w:proofErr w:type="gramEnd"/>
      <w:r w:rsidRPr="00707B40">
        <w:rPr>
          <w:rFonts w:ascii="Cambria" w:eastAsiaTheme="minorHAnsi" w:hAnsi="Cambria" w:cs="Arial"/>
          <w:sz w:val="22"/>
          <w:szCs w:val="22"/>
          <w:lang w:eastAsia="en-US"/>
        </w:rPr>
        <w:t xml:space="preserve"> </w:t>
      </w:r>
    </w:p>
    <w:tbl>
      <w:tblPr>
        <w:tblW w:w="1886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01"/>
        <w:gridCol w:w="9359"/>
      </w:tblGrid>
      <w:tr w:rsidR="007909CE" w:rsidRPr="00707B40" w14:paraId="7944E447" w14:textId="77777777" w:rsidTr="00707B40">
        <w:trPr>
          <w:trHeight w:val="13311"/>
        </w:trPr>
        <w:tc>
          <w:tcPr>
            <w:tcW w:w="9501" w:type="dxa"/>
            <w:tcBorders>
              <w:top w:val="nil"/>
              <w:left w:val="nil"/>
              <w:bottom w:val="nil"/>
              <w:right w:val="nil"/>
            </w:tcBorders>
          </w:tcPr>
          <w:p w14:paraId="1D860A32" w14:textId="77777777" w:rsidR="007909CE" w:rsidRPr="00707B40" w:rsidRDefault="007909CE" w:rsidP="00707B40">
            <w:pPr>
              <w:pStyle w:val="ListParagraph"/>
              <w:numPr>
                <w:ilvl w:val="0"/>
                <w:numId w:val="26"/>
              </w:numPr>
              <w:spacing w:after="120" w:line="360" w:lineRule="auto"/>
              <w:ind w:left="0" w:firstLine="0"/>
              <w:jc w:val="both"/>
              <w:rPr>
                <w:rFonts w:ascii="Cambria" w:hAnsi="Cambria"/>
                <w:b/>
                <w:sz w:val="22"/>
                <w:szCs w:val="22"/>
                <w:u w:val="single"/>
              </w:rPr>
            </w:pPr>
            <w:r w:rsidRPr="00707B40">
              <w:rPr>
                <w:rFonts w:ascii="Cambria" w:hAnsi="Cambria"/>
                <w:b/>
                <w:sz w:val="22"/>
                <w:szCs w:val="22"/>
                <w:u w:val="single"/>
              </w:rPr>
              <w:lastRenderedPageBreak/>
              <w:t xml:space="preserve">Asset allocation limits </w:t>
            </w:r>
          </w:p>
          <w:p w14:paraId="0AA32947" w14:textId="77777777" w:rsidR="007909CE" w:rsidRPr="00707B40" w:rsidRDefault="007909CE" w:rsidP="00707B40">
            <w:pPr>
              <w:autoSpaceDE w:val="0"/>
              <w:autoSpaceDN w:val="0"/>
              <w:adjustRightInd w:val="0"/>
              <w:spacing w:after="120" w:line="360" w:lineRule="auto"/>
              <w:jc w:val="both"/>
              <w:rPr>
                <w:rFonts w:ascii="Cambria" w:hAnsi="Cambria" w:cs="Arial"/>
              </w:rPr>
            </w:pPr>
            <w:r w:rsidRPr="00707B40">
              <w:rPr>
                <w:rFonts w:ascii="Cambria" w:hAnsi="Cambria" w:cs="Arial"/>
              </w:rPr>
              <w:t xml:space="preserve">The Portfolio Manager will consider investment options to enable investors meet their individual goals. Asset allocation is one of the most important factors in assessing the long-term risk-and-return characteristics of portfolio. </w:t>
            </w:r>
          </w:p>
          <w:p w14:paraId="30735020" w14:textId="1608F991" w:rsidR="007909CE" w:rsidRPr="00707B40" w:rsidRDefault="007909CE" w:rsidP="00707B40">
            <w:pPr>
              <w:autoSpaceDE w:val="0"/>
              <w:autoSpaceDN w:val="0"/>
              <w:adjustRightInd w:val="0"/>
              <w:spacing w:after="120" w:line="360" w:lineRule="auto"/>
              <w:jc w:val="both"/>
              <w:rPr>
                <w:rFonts w:ascii="Cambria" w:hAnsi="Cambria" w:cs="Arial"/>
              </w:rPr>
            </w:pPr>
            <w:r w:rsidRPr="00707B40">
              <w:rPr>
                <w:rFonts w:ascii="Cambria" w:hAnsi="Cambria" w:cs="Arial"/>
              </w:rPr>
              <w:t xml:space="preserve">Our Portfolio </w:t>
            </w:r>
            <w:r w:rsidR="00D903DB" w:rsidRPr="00707B40">
              <w:rPr>
                <w:rFonts w:ascii="Cambria" w:hAnsi="Cambria" w:cs="Arial"/>
              </w:rPr>
              <w:t>M</w:t>
            </w:r>
            <w:r w:rsidRPr="00707B40">
              <w:rPr>
                <w:rFonts w:ascii="Cambria" w:hAnsi="Cambria" w:cs="Arial"/>
              </w:rPr>
              <w:t>anagers allocate investments across stocks, bonds, derivatives</w:t>
            </w:r>
            <w:r w:rsidR="009C0720" w:rsidRPr="00707B40">
              <w:rPr>
                <w:rFonts w:ascii="Cambria" w:hAnsi="Cambria" w:cs="Arial"/>
              </w:rPr>
              <w:t xml:space="preserve"> (where permitted)</w:t>
            </w:r>
            <w:r w:rsidRPr="00707B40">
              <w:rPr>
                <w:rFonts w:ascii="Cambria" w:hAnsi="Cambria" w:cs="Arial"/>
              </w:rPr>
              <w:t xml:space="preserve"> and cash to help reasonably manage portfolio risk and seek attractive returns. Below is the table with asset allocation limits per each class of assets:</w:t>
            </w:r>
          </w:p>
          <w:p w14:paraId="52D5B277" w14:textId="77777777" w:rsidR="007909CE" w:rsidRPr="00707B40" w:rsidRDefault="007909CE" w:rsidP="00707B40">
            <w:pPr>
              <w:autoSpaceDE w:val="0"/>
              <w:autoSpaceDN w:val="0"/>
              <w:adjustRightInd w:val="0"/>
              <w:spacing w:after="120" w:line="360" w:lineRule="auto"/>
              <w:jc w:val="both"/>
              <w:rPr>
                <w:rFonts w:ascii="Cambria" w:hAnsi="Cambria" w:cs="Arial"/>
                <w:u w:val="single"/>
              </w:rPr>
            </w:pPr>
            <w:r w:rsidRPr="00707B40">
              <w:rPr>
                <w:rFonts w:ascii="Cambria" w:hAnsi="Cambria" w:cs="Arial"/>
                <w:u w:val="single"/>
              </w:rPr>
              <w:t>Table 1. Asset allocation limits per class:</w:t>
            </w:r>
          </w:p>
          <w:tbl>
            <w:tblPr>
              <w:tblStyle w:val="TableGrid0"/>
              <w:tblW w:w="8800" w:type="dxa"/>
              <w:tblInd w:w="21" w:type="dxa"/>
              <w:tblLayout w:type="fixed"/>
              <w:tblLook w:val="04A0" w:firstRow="1" w:lastRow="0" w:firstColumn="1" w:lastColumn="0" w:noHBand="0" w:noVBand="1"/>
            </w:tblPr>
            <w:tblGrid>
              <w:gridCol w:w="2980"/>
              <w:gridCol w:w="4686"/>
              <w:gridCol w:w="1134"/>
            </w:tblGrid>
            <w:tr w:rsidR="007909CE" w:rsidRPr="00707B40" w14:paraId="2AA64DCF" w14:textId="77777777" w:rsidTr="00B24800">
              <w:trPr>
                <w:trHeight w:val="669"/>
              </w:trPr>
              <w:tc>
                <w:tcPr>
                  <w:tcW w:w="2980" w:type="dxa"/>
                </w:tcPr>
                <w:p w14:paraId="6B2C6D13" w14:textId="77777777" w:rsidR="007909CE" w:rsidRPr="00707B40" w:rsidRDefault="007909CE" w:rsidP="00707B40">
                  <w:pPr>
                    <w:spacing w:before="120" w:after="120" w:line="360" w:lineRule="auto"/>
                    <w:rPr>
                      <w:rFonts w:ascii="Cambria" w:hAnsi="Cambria" w:cs="Arial"/>
                      <w:b/>
                    </w:rPr>
                  </w:pPr>
                  <w:r w:rsidRPr="00707B40">
                    <w:rPr>
                      <w:rFonts w:ascii="Cambria" w:hAnsi="Cambria" w:cs="Arial"/>
                      <w:b/>
                    </w:rPr>
                    <w:t>Asset Class</w:t>
                  </w:r>
                </w:p>
                <w:p w14:paraId="226156AF" w14:textId="77777777" w:rsidR="007909CE" w:rsidRPr="00707B40" w:rsidRDefault="007909CE" w:rsidP="00707B40">
                  <w:pPr>
                    <w:spacing w:before="120" w:after="120" w:line="360" w:lineRule="auto"/>
                    <w:rPr>
                      <w:rFonts w:ascii="Cambria" w:hAnsi="Cambria" w:cs="Arial"/>
                      <w:b/>
                    </w:rPr>
                  </w:pPr>
                </w:p>
              </w:tc>
              <w:tc>
                <w:tcPr>
                  <w:tcW w:w="4686" w:type="dxa"/>
                </w:tcPr>
                <w:p w14:paraId="0B4736E4" w14:textId="77777777" w:rsidR="007909CE" w:rsidRPr="00707B40" w:rsidRDefault="007909CE" w:rsidP="00707B40">
                  <w:pPr>
                    <w:spacing w:before="120" w:after="120" w:line="360" w:lineRule="auto"/>
                    <w:rPr>
                      <w:rFonts w:ascii="Cambria" w:hAnsi="Cambria" w:cs="Arial"/>
                      <w:b/>
                    </w:rPr>
                  </w:pPr>
                  <w:r w:rsidRPr="00707B40">
                    <w:rPr>
                      <w:rFonts w:ascii="Cambria" w:hAnsi="Cambria" w:cs="Arial"/>
                      <w:b/>
                    </w:rPr>
                    <w:t>Asset Types</w:t>
                  </w:r>
                </w:p>
              </w:tc>
              <w:tc>
                <w:tcPr>
                  <w:tcW w:w="1134" w:type="dxa"/>
                </w:tcPr>
                <w:p w14:paraId="46118EF6" w14:textId="77777777" w:rsidR="007909CE" w:rsidRPr="00707B40" w:rsidRDefault="007909CE" w:rsidP="00707B40">
                  <w:pPr>
                    <w:tabs>
                      <w:tab w:val="left" w:pos="1152"/>
                    </w:tabs>
                    <w:spacing w:before="120" w:after="120" w:line="360" w:lineRule="auto"/>
                    <w:jc w:val="center"/>
                    <w:rPr>
                      <w:rFonts w:ascii="Cambria" w:hAnsi="Cambria" w:cs="Arial"/>
                      <w:b/>
                    </w:rPr>
                  </w:pPr>
                  <w:r w:rsidRPr="00707B40">
                    <w:rPr>
                      <w:rFonts w:ascii="Cambria" w:hAnsi="Cambria" w:cs="Arial"/>
                      <w:b/>
                    </w:rPr>
                    <w:t>Limits (up to)</w:t>
                  </w:r>
                </w:p>
              </w:tc>
            </w:tr>
            <w:tr w:rsidR="007909CE" w:rsidRPr="00707B40" w14:paraId="495064EB" w14:textId="77777777" w:rsidTr="000D65C4">
              <w:trPr>
                <w:trHeight w:val="384"/>
              </w:trPr>
              <w:tc>
                <w:tcPr>
                  <w:tcW w:w="2980" w:type="dxa"/>
                </w:tcPr>
                <w:p w14:paraId="4903BAE4" w14:textId="27B9C1EB" w:rsidR="007909CE" w:rsidRPr="00707B40" w:rsidRDefault="007909CE" w:rsidP="00707B40">
                  <w:pPr>
                    <w:spacing w:before="120" w:after="120" w:line="360" w:lineRule="auto"/>
                    <w:rPr>
                      <w:rFonts w:ascii="Cambria" w:hAnsi="Cambria" w:cs="Arial"/>
                    </w:rPr>
                  </w:pPr>
                  <w:r w:rsidRPr="00707B40">
                    <w:rPr>
                      <w:rFonts w:ascii="Cambria" w:hAnsi="Cambria" w:cs="Arial"/>
                    </w:rPr>
                    <w:t>Equities</w:t>
                  </w:r>
                  <w:r w:rsidR="00D9698B" w:rsidRPr="00707B40">
                    <w:rPr>
                      <w:rFonts w:ascii="Cambria" w:hAnsi="Cambria" w:cs="Arial"/>
                    </w:rPr>
                    <w:t xml:space="preserve"> (Long and Short)</w:t>
                  </w:r>
                </w:p>
              </w:tc>
              <w:tc>
                <w:tcPr>
                  <w:tcW w:w="4686" w:type="dxa"/>
                </w:tcPr>
                <w:p w14:paraId="2F259B9D" w14:textId="08CB7849" w:rsidR="007909CE" w:rsidRPr="00707B40" w:rsidRDefault="007909CE" w:rsidP="00707B40">
                  <w:pPr>
                    <w:spacing w:before="120" w:after="120" w:line="360" w:lineRule="auto"/>
                    <w:rPr>
                      <w:rFonts w:ascii="Cambria" w:hAnsi="Cambria" w:cs="Arial"/>
                    </w:rPr>
                  </w:pPr>
                  <w:r w:rsidRPr="00707B40">
                    <w:rPr>
                      <w:rFonts w:ascii="Cambria" w:hAnsi="Cambria" w:cs="Arial"/>
                    </w:rPr>
                    <w:t>Shares, ETF’s, Equity Funds</w:t>
                  </w:r>
                  <w:r w:rsidR="00B06D93" w:rsidRPr="00707B40">
                    <w:rPr>
                      <w:rFonts w:ascii="Cambria" w:hAnsi="Cambria" w:cs="Arial"/>
                    </w:rPr>
                    <w:t>. IPO for non-retail clients only.</w:t>
                  </w:r>
                </w:p>
              </w:tc>
              <w:tc>
                <w:tcPr>
                  <w:tcW w:w="1134" w:type="dxa"/>
                  <w:shd w:val="clear" w:color="auto" w:fill="FFFFFF" w:themeFill="background1"/>
                </w:tcPr>
                <w:p w14:paraId="50CFA742" w14:textId="2A821D25" w:rsidR="007909CE" w:rsidRPr="00707B40" w:rsidRDefault="007909CE" w:rsidP="00707B40">
                  <w:pPr>
                    <w:spacing w:before="120" w:after="120" w:line="360" w:lineRule="auto"/>
                    <w:jc w:val="center"/>
                    <w:rPr>
                      <w:rFonts w:ascii="Cambria" w:hAnsi="Cambria" w:cs="Arial"/>
                      <w:b/>
                    </w:rPr>
                  </w:pPr>
                  <w:r w:rsidRPr="00707B40">
                    <w:rPr>
                      <w:rFonts w:ascii="Cambria" w:hAnsi="Cambria" w:cs="Arial"/>
                      <w:b/>
                    </w:rPr>
                    <w:t>%</w:t>
                  </w:r>
                  <w:r w:rsidR="008E2BF9" w:rsidRPr="00707B40">
                    <w:rPr>
                      <w:rFonts w:ascii="Cambria" w:hAnsi="Cambria" w:cs="Arial"/>
                      <w:b/>
                    </w:rPr>
                    <w:t xml:space="preserve"> </w:t>
                  </w:r>
                  <w:proofErr w:type="gramStart"/>
                  <w:r w:rsidR="008E2BF9" w:rsidRPr="00707B40">
                    <w:rPr>
                      <w:rFonts w:ascii="Cambria" w:hAnsi="Cambria" w:cs="Arial"/>
                      <w:b/>
                    </w:rPr>
                    <w:t>or</w:t>
                  </w:r>
                  <w:proofErr w:type="gramEnd"/>
                  <w:r w:rsidR="008E2BF9" w:rsidRPr="00707B40">
                    <w:rPr>
                      <w:rFonts w:ascii="Cambria" w:hAnsi="Cambria" w:cs="Arial"/>
                      <w:b/>
                    </w:rPr>
                    <w:t xml:space="preserve"> N/A</w:t>
                  </w:r>
                </w:p>
              </w:tc>
            </w:tr>
            <w:tr w:rsidR="007909CE" w:rsidRPr="00707B40" w14:paraId="2ED75A61" w14:textId="77777777" w:rsidTr="000D65C4">
              <w:trPr>
                <w:trHeight w:val="384"/>
              </w:trPr>
              <w:tc>
                <w:tcPr>
                  <w:tcW w:w="2980" w:type="dxa"/>
                </w:tcPr>
                <w:p w14:paraId="640EE35B" w14:textId="602460B6" w:rsidR="007909CE" w:rsidRPr="00707B40" w:rsidRDefault="007909CE" w:rsidP="00707B40">
                  <w:pPr>
                    <w:spacing w:before="120" w:after="120" w:line="360" w:lineRule="auto"/>
                    <w:rPr>
                      <w:rFonts w:ascii="Cambria" w:hAnsi="Cambria" w:cs="Arial"/>
                    </w:rPr>
                  </w:pPr>
                  <w:r w:rsidRPr="00707B40">
                    <w:rPr>
                      <w:rFonts w:ascii="Cambria" w:hAnsi="Cambria" w:cs="Arial"/>
                    </w:rPr>
                    <w:t>Fixed Income</w:t>
                  </w:r>
                  <w:r w:rsidR="00D9698B" w:rsidRPr="00707B40">
                    <w:rPr>
                      <w:rFonts w:ascii="Cambria" w:hAnsi="Cambria" w:cs="Arial"/>
                    </w:rPr>
                    <w:t xml:space="preserve"> </w:t>
                  </w:r>
                  <w:r w:rsidR="00B06D93" w:rsidRPr="00707B40">
                    <w:rPr>
                      <w:rFonts w:ascii="Cambria" w:hAnsi="Cambria" w:cs="Arial"/>
                    </w:rPr>
                    <w:t>ETF</w:t>
                  </w:r>
                </w:p>
              </w:tc>
              <w:tc>
                <w:tcPr>
                  <w:tcW w:w="4686" w:type="dxa"/>
                </w:tcPr>
                <w:p w14:paraId="2A350CA0" w14:textId="6E9F09FE" w:rsidR="007909CE" w:rsidRPr="00707B40" w:rsidRDefault="007909CE" w:rsidP="00707B40">
                  <w:pPr>
                    <w:spacing w:before="120" w:after="120" w:line="360" w:lineRule="auto"/>
                    <w:rPr>
                      <w:rFonts w:ascii="Cambria" w:hAnsi="Cambria" w:cs="Arial"/>
                    </w:rPr>
                  </w:pPr>
                </w:p>
              </w:tc>
              <w:tc>
                <w:tcPr>
                  <w:tcW w:w="1134" w:type="dxa"/>
                  <w:shd w:val="clear" w:color="auto" w:fill="FFFFFF" w:themeFill="background1"/>
                </w:tcPr>
                <w:p w14:paraId="5032258C" w14:textId="7C0A14A8" w:rsidR="007909CE" w:rsidRPr="00707B40" w:rsidRDefault="008E2BF9" w:rsidP="00707B40">
                  <w:pPr>
                    <w:spacing w:before="120" w:after="120" w:line="360" w:lineRule="auto"/>
                    <w:jc w:val="center"/>
                    <w:rPr>
                      <w:rFonts w:ascii="Cambria" w:hAnsi="Cambria" w:cs="Arial"/>
                      <w:b/>
                    </w:rPr>
                  </w:pPr>
                  <w:r w:rsidRPr="00707B40">
                    <w:rPr>
                      <w:rFonts w:ascii="Cambria" w:hAnsi="Cambria" w:cs="Arial"/>
                      <w:b/>
                    </w:rPr>
                    <w:t xml:space="preserve">% </w:t>
                  </w:r>
                  <w:proofErr w:type="gramStart"/>
                  <w:r w:rsidRPr="00707B40">
                    <w:rPr>
                      <w:rFonts w:ascii="Cambria" w:hAnsi="Cambria" w:cs="Arial"/>
                      <w:b/>
                    </w:rPr>
                    <w:t>or</w:t>
                  </w:r>
                  <w:proofErr w:type="gramEnd"/>
                  <w:r w:rsidRPr="00707B40">
                    <w:rPr>
                      <w:rFonts w:ascii="Cambria" w:hAnsi="Cambria" w:cs="Arial"/>
                      <w:b/>
                    </w:rPr>
                    <w:t xml:space="preserve"> N/A</w:t>
                  </w:r>
                </w:p>
              </w:tc>
            </w:tr>
            <w:tr w:rsidR="004235F2" w:rsidRPr="00707B40" w14:paraId="78676CAD" w14:textId="77777777" w:rsidTr="000D65C4">
              <w:trPr>
                <w:trHeight w:val="384"/>
              </w:trPr>
              <w:tc>
                <w:tcPr>
                  <w:tcW w:w="2980" w:type="dxa"/>
                </w:tcPr>
                <w:p w14:paraId="16B31202" w14:textId="68E0EF4E" w:rsidR="007909CE" w:rsidRPr="00707B40" w:rsidRDefault="007909CE" w:rsidP="00707B40">
                  <w:pPr>
                    <w:spacing w:before="120" w:after="120" w:line="360" w:lineRule="auto"/>
                    <w:rPr>
                      <w:rFonts w:ascii="Cambria" w:hAnsi="Cambria" w:cs="Arial"/>
                    </w:rPr>
                  </w:pPr>
                  <w:r w:rsidRPr="00707B40">
                    <w:rPr>
                      <w:rFonts w:ascii="Cambria" w:hAnsi="Cambria" w:cs="Arial"/>
                    </w:rPr>
                    <w:t>Derivatives</w:t>
                  </w:r>
                  <w:r w:rsidR="00D9698B" w:rsidRPr="00707B40">
                    <w:rPr>
                      <w:rFonts w:ascii="Cambria" w:hAnsi="Cambria" w:cs="Arial"/>
                    </w:rPr>
                    <w:t xml:space="preserve"> (Long and Short)</w:t>
                  </w:r>
                </w:p>
              </w:tc>
              <w:tc>
                <w:tcPr>
                  <w:tcW w:w="4686" w:type="dxa"/>
                </w:tcPr>
                <w:p w14:paraId="6EC6973D" w14:textId="21A35AAF" w:rsidR="007909CE" w:rsidRPr="00707B40" w:rsidRDefault="007909CE" w:rsidP="00707B40">
                  <w:pPr>
                    <w:spacing w:before="120" w:after="120" w:line="360" w:lineRule="auto"/>
                    <w:rPr>
                      <w:rFonts w:ascii="Cambria" w:hAnsi="Cambria" w:cs="Arial"/>
                    </w:rPr>
                  </w:pPr>
                  <w:r w:rsidRPr="00707B40">
                    <w:rPr>
                      <w:rFonts w:ascii="Cambria" w:hAnsi="Cambria" w:cs="Arial"/>
                    </w:rPr>
                    <w:t>Options, futures, swaps, forward rate agreements and any other derivative contracts</w:t>
                  </w:r>
                </w:p>
              </w:tc>
              <w:tc>
                <w:tcPr>
                  <w:tcW w:w="1134" w:type="dxa"/>
                  <w:shd w:val="clear" w:color="auto" w:fill="FFFFFF" w:themeFill="background1"/>
                </w:tcPr>
                <w:p w14:paraId="53A4E80F" w14:textId="5F954108" w:rsidR="007909CE" w:rsidRPr="00707B40" w:rsidRDefault="008E2BF9" w:rsidP="00707B40">
                  <w:pPr>
                    <w:spacing w:before="120" w:after="120" w:line="360" w:lineRule="auto"/>
                    <w:jc w:val="center"/>
                    <w:rPr>
                      <w:rFonts w:ascii="Cambria" w:hAnsi="Cambria" w:cs="Arial"/>
                      <w:color w:val="FF0000"/>
                    </w:rPr>
                  </w:pPr>
                  <w:r w:rsidRPr="00707B40">
                    <w:rPr>
                      <w:rFonts w:ascii="Cambria" w:hAnsi="Cambria" w:cs="Arial"/>
                      <w:b/>
                    </w:rPr>
                    <w:t xml:space="preserve">% </w:t>
                  </w:r>
                  <w:proofErr w:type="gramStart"/>
                  <w:r w:rsidRPr="00707B40">
                    <w:rPr>
                      <w:rFonts w:ascii="Cambria" w:hAnsi="Cambria" w:cs="Arial"/>
                      <w:b/>
                    </w:rPr>
                    <w:t>or</w:t>
                  </w:r>
                  <w:proofErr w:type="gramEnd"/>
                  <w:r w:rsidRPr="00707B40">
                    <w:rPr>
                      <w:rFonts w:ascii="Cambria" w:hAnsi="Cambria" w:cs="Arial"/>
                      <w:b/>
                    </w:rPr>
                    <w:t xml:space="preserve"> N/A</w:t>
                  </w:r>
                </w:p>
              </w:tc>
            </w:tr>
          </w:tbl>
          <w:p w14:paraId="68B395C8" w14:textId="77777777" w:rsidR="00C41D6E" w:rsidRPr="00707B40" w:rsidRDefault="00C41D6E" w:rsidP="00707B40">
            <w:pPr>
              <w:pStyle w:val="BodyText"/>
              <w:spacing w:before="192" w:line="360" w:lineRule="auto"/>
              <w:ind w:right="102"/>
              <w:jc w:val="both"/>
              <w:rPr>
                <w:rFonts w:ascii="Cambria" w:hAnsi="Cambria" w:cs="Arial"/>
              </w:rPr>
            </w:pPr>
          </w:p>
          <w:p w14:paraId="33D87182" w14:textId="77777777" w:rsidR="007909CE" w:rsidRPr="00707B40" w:rsidRDefault="007909CE" w:rsidP="00707B40">
            <w:pPr>
              <w:pStyle w:val="ListParagraph"/>
              <w:numPr>
                <w:ilvl w:val="0"/>
                <w:numId w:val="26"/>
              </w:numPr>
              <w:spacing w:after="120" w:line="360" w:lineRule="auto"/>
              <w:ind w:left="0" w:firstLine="0"/>
              <w:jc w:val="both"/>
              <w:rPr>
                <w:rFonts w:ascii="Cambria" w:hAnsi="Cambria"/>
                <w:b/>
                <w:sz w:val="22"/>
                <w:szCs w:val="22"/>
                <w:u w:val="single"/>
              </w:rPr>
            </w:pPr>
            <w:r w:rsidRPr="00707B40">
              <w:rPr>
                <w:rFonts w:ascii="Cambria" w:hAnsi="Cambria"/>
                <w:b/>
                <w:sz w:val="22"/>
                <w:szCs w:val="22"/>
                <w:u w:val="single"/>
              </w:rPr>
              <w:t xml:space="preserve">Tactical allocation </w:t>
            </w:r>
          </w:p>
          <w:p w14:paraId="0F2C35FC" w14:textId="2695A9DB" w:rsidR="007909CE" w:rsidRDefault="007909CE" w:rsidP="00707B40">
            <w:pPr>
              <w:spacing w:after="120" w:line="360" w:lineRule="auto"/>
              <w:rPr>
                <w:rFonts w:ascii="Cambria" w:hAnsi="Cambria" w:cs="Arial"/>
              </w:rPr>
            </w:pPr>
            <w:r w:rsidRPr="00707B40">
              <w:rPr>
                <w:rFonts w:ascii="Cambria" w:hAnsi="Cambria" w:cs="Arial"/>
              </w:rPr>
              <w:t>Investment strategy also needs to take into consideration the sub–asset classes and tactical allocation.  Tactical asset allocations serve many functions, including:</w:t>
            </w:r>
          </w:p>
          <w:p w14:paraId="56A1FE1D" w14:textId="77777777" w:rsidR="00707B40" w:rsidRPr="00707B40" w:rsidRDefault="00707B40" w:rsidP="00707B40">
            <w:pPr>
              <w:spacing w:after="120" w:line="360" w:lineRule="auto"/>
              <w:rPr>
                <w:rFonts w:ascii="Cambria" w:hAnsi="Cambria" w:cs="Arial"/>
              </w:rPr>
            </w:pPr>
          </w:p>
          <w:p w14:paraId="2E1FB8B3" w14:textId="77777777" w:rsidR="007909CE" w:rsidRPr="00707B40" w:rsidRDefault="007909CE" w:rsidP="00707B40">
            <w:pPr>
              <w:spacing w:after="120" w:line="360" w:lineRule="auto"/>
              <w:rPr>
                <w:rFonts w:ascii="Cambria" w:hAnsi="Cambria" w:cs="Arial"/>
                <w:b/>
                <w:i/>
              </w:rPr>
            </w:pPr>
            <w:r w:rsidRPr="00707B40">
              <w:rPr>
                <w:rFonts w:ascii="Cambria" w:hAnsi="Cambria" w:cs="Arial"/>
                <w:b/>
                <w:i/>
              </w:rPr>
              <w:t>A. Increasing returns</w:t>
            </w:r>
          </w:p>
          <w:p w14:paraId="11FD6EB1" w14:textId="6665B7B8" w:rsidR="007909CE" w:rsidRDefault="007909CE" w:rsidP="00707B40">
            <w:pPr>
              <w:spacing w:after="120" w:line="360" w:lineRule="auto"/>
              <w:jc w:val="both"/>
              <w:rPr>
                <w:rFonts w:ascii="Cambria" w:hAnsi="Cambria" w:cs="Arial"/>
              </w:rPr>
            </w:pPr>
            <w:r w:rsidRPr="00707B40">
              <w:rPr>
                <w:rFonts w:ascii="Cambria" w:hAnsi="Cambria" w:cs="Arial"/>
              </w:rPr>
              <w:t>Using tactical asset allocation to shift asset allocations t</w:t>
            </w:r>
            <w:r w:rsidR="00BA690B" w:rsidRPr="00707B40">
              <w:rPr>
                <w:rFonts w:ascii="Cambria" w:hAnsi="Cambria" w:cs="Arial"/>
              </w:rPr>
              <w:t>o stronger performers increases</w:t>
            </w:r>
            <w:r w:rsidRPr="00707B40">
              <w:rPr>
                <w:rFonts w:ascii="Cambria" w:hAnsi="Cambria" w:cs="Arial"/>
              </w:rPr>
              <w:t xml:space="preserve"> portfolio return. Doing so allows the portfolio to capture the upside in an asset class while moving away from poorly performing asset classes.</w:t>
            </w:r>
          </w:p>
          <w:p w14:paraId="6D4B0C44" w14:textId="058E2E41" w:rsidR="00707B40" w:rsidRDefault="00707B40" w:rsidP="00707B40">
            <w:pPr>
              <w:spacing w:after="120" w:line="360" w:lineRule="auto"/>
              <w:rPr>
                <w:rFonts w:ascii="Cambria" w:hAnsi="Cambria" w:cs="Arial"/>
                <w:b/>
                <w:i/>
              </w:rPr>
            </w:pPr>
          </w:p>
          <w:p w14:paraId="3A912D15" w14:textId="77777777" w:rsidR="00707B40" w:rsidRDefault="00707B40" w:rsidP="00707B40">
            <w:pPr>
              <w:spacing w:after="120" w:line="360" w:lineRule="auto"/>
              <w:rPr>
                <w:rFonts w:ascii="Cambria" w:hAnsi="Cambria" w:cs="Arial"/>
                <w:b/>
                <w:i/>
              </w:rPr>
            </w:pPr>
          </w:p>
          <w:p w14:paraId="428C309A" w14:textId="47B7B296" w:rsidR="007909CE" w:rsidRPr="00707B40" w:rsidRDefault="007909CE" w:rsidP="00707B40">
            <w:pPr>
              <w:spacing w:after="120" w:line="360" w:lineRule="auto"/>
              <w:rPr>
                <w:rFonts w:ascii="Cambria" w:hAnsi="Cambria" w:cs="Arial"/>
                <w:b/>
                <w:i/>
              </w:rPr>
            </w:pPr>
            <w:r w:rsidRPr="00707B40">
              <w:rPr>
                <w:rFonts w:ascii="Cambria" w:hAnsi="Cambria" w:cs="Arial"/>
                <w:b/>
                <w:i/>
              </w:rPr>
              <w:lastRenderedPageBreak/>
              <w:t>B. Adapting to market conditions</w:t>
            </w:r>
          </w:p>
          <w:p w14:paraId="18293DAD" w14:textId="1F9E8A49" w:rsidR="00702CBB" w:rsidRDefault="007909CE" w:rsidP="00707B40">
            <w:pPr>
              <w:spacing w:after="120" w:line="360" w:lineRule="auto"/>
              <w:jc w:val="both"/>
              <w:rPr>
                <w:rFonts w:ascii="Cambria" w:hAnsi="Cambria" w:cs="Arial"/>
              </w:rPr>
            </w:pPr>
            <w:r w:rsidRPr="00707B40">
              <w:rPr>
                <w:rFonts w:ascii="Cambria" w:hAnsi="Cambria" w:cs="Arial"/>
              </w:rPr>
              <w:t>Tactical asset allocation is flexible and responds to macroeconomic events. A tactical asset allocation strategy shifts the asset allocation accordingly to account for macroeconomic conditions.</w:t>
            </w:r>
          </w:p>
          <w:p w14:paraId="202BCDA4" w14:textId="77777777" w:rsidR="00707B40" w:rsidRPr="00707B40" w:rsidRDefault="00707B40" w:rsidP="00707B40">
            <w:pPr>
              <w:spacing w:after="120" w:line="360" w:lineRule="auto"/>
              <w:jc w:val="both"/>
              <w:rPr>
                <w:rFonts w:ascii="Cambria" w:hAnsi="Cambria" w:cs="Arial"/>
              </w:rPr>
            </w:pPr>
          </w:p>
          <w:p w14:paraId="5AAB87EA" w14:textId="77777777" w:rsidR="007909CE" w:rsidRPr="00707B40" w:rsidRDefault="007909CE" w:rsidP="00707B40">
            <w:pPr>
              <w:spacing w:after="120" w:line="360" w:lineRule="auto"/>
              <w:rPr>
                <w:rFonts w:ascii="Cambria" w:hAnsi="Cambria" w:cs="Arial"/>
                <w:b/>
                <w:i/>
              </w:rPr>
            </w:pPr>
            <w:r w:rsidRPr="00707B40">
              <w:rPr>
                <w:rFonts w:ascii="Cambria" w:hAnsi="Cambria" w:cs="Arial"/>
                <w:b/>
                <w:i/>
              </w:rPr>
              <w:t>C. Providing diversification</w:t>
            </w:r>
          </w:p>
          <w:p w14:paraId="06A4E0B0" w14:textId="7F6FB773" w:rsidR="00F4683B" w:rsidRPr="00707B40" w:rsidRDefault="007909CE" w:rsidP="00707B40">
            <w:pPr>
              <w:spacing w:after="120" w:line="360" w:lineRule="auto"/>
              <w:jc w:val="both"/>
              <w:rPr>
                <w:rFonts w:ascii="Cambria" w:hAnsi="Cambria" w:cs="Arial"/>
              </w:rPr>
            </w:pPr>
            <w:r w:rsidRPr="00707B40">
              <w:rPr>
                <w:rFonts w:ascii="Cambria" w:hAnsi="Cambria" w:cs="Arial"/>
              </w:rPr>
              <w:t>Investing solely in one asset class increases the risk of the portfolio</w:t>
            </w:r>
            <w:r w:rsidR="00A50799" w:rsidRPr="00707B40">
              <w:rPr>
                <w:rFonts w:ascii="Cambria" w:hAnsi="Cambria" w:cs="Arial"/>
              </w:rPr>
              <w:t>, it is permitted in the Speculative Strategy only</w:t>
            </w:r>
            <w:r w:rsidRPr="00707B40">
              <w:rPr>
                <w:rFonts w:ascii="Cambria" w:hAnsi="Cambria" w:cs="Arial"/>
              </w:rPr>
              <w:t>. By diversifying through tactical asset allocation, greater returns can potentially be realized with lower risks.</w:t>
            </w:r>
            <w:r w:rsidR="009F7598" w:rsidRPr="00707B40">
              <w:rPr>
                <w:rFonts w:ascii="Cambria" w:hAnsi="Cambria" w:cs="Arial"/>
              </w:rPr>
              <w:t xml:space="preserve"> The more balanced the strategy is, the more diversification shall be applied. </w:t>
            </w:r>
          </w:p>
          <w:p w14:paraId="5607CEFF" w14:textId="77777777" w:rsidR="00301E0D" w:rsidRPr="00707B40" w:rsidRDefault="00301E0D" w:rsidP="00707B40">
            <w:pPr>
              <w:spacing w:after="120" w:line="360" w:lineRule="auto"/>
              <w:jc w:val="both"/>
              <w:rPr>
                <w:rFonts w:ascii="Cambria" w:hAnsi="Cambria" w:cs="Arial"/>
              </w:rPr>
            </w:pPr>
          </w:p>
          <w:p w14:paraId="10142C09" w14:textId="010477FF" w:rsidR="007909CE" w:rsidRPr="00707B40" w:rsidRDefault="00476D64" w:rsidP="00707B40">
            <w:pPr>
              <w:spacing w:after="120" w:line="360" w:lineRule="auto"/>
              <w:rPr>
                <w:rFonts w:ascii="Cambria" w:hAnsi="Cambria" w:cs="Arial"/>
                <w:b/>
                <w:i/>
              </w:rPr>
            </w:pPr>
            <w:r w:rsidRPr="00707B40">
              <w:rPr>
                <w:rFonts w:ascii="Cambria" w:hAnsi="Cambria" w:cs="Arial"/>
                <w:b/>
                <w:i/>
              </w:rPr>
              <w:t>D. Use of derivatives</w:t>
            </w:r>
          </w:p>
          <w:p w14:paraId="237C2FD4" w14:textId="4B7CCC1E" w:rsidR="00476D64" w:rsidRDefault="00476D64" w:rsidP="00707B40">
            <w:pPr>
              <w:spacing w:after="120" w:line="360" w:lineRule="auto"/>
              <w:jc w:val="both"/>
              <w:rPr>
                <w:rFonts w:ascii="Cambria" w:hAnsi="Cambria" w:cs="Arial"/>
              </w:rPr>
            </w:pPr>
            <w:r w:rsidRPr="00707B40">
              <w:rPr>
                <w:rFonts w:ascii="Cambria" w:hAnsi="Cambria" w:cs="Arial"/>
              </w:rPr>
              <w:t>Derivatives are not allowed for retail clients. The Portfolio Manager may use derivatives in the portfolio of retail clients</w:t>
            </w:r>
            <w:r w:rsidR="00406B4E" w:rsidRPr="00707B40">
              <w:rPr>
                <w:rFonts w:ascii="Cambria" w:hAnsi="Cambria" w:cs="Arial"/>
              </w:rPr>
              <w:t xml:space="preserve">, </w:t>
            </w:r>
            <w:proofErr w:type="gramStart"/>
            <w:r w:rsidR="00406B4E" w:rsidRPr="00707B40">
              <w:rPr>
                <w:rFonts w:ascii="Cambria" w:hAnsi="Cambria" w:cs="Arial"/>
              </w:rPr>
              <w:t>i.e.</w:t>
            </w:r>
            <w:proofErr w:type="gramEnd"/>
            <w:r w:rsidR="00406B4E" w:rsidRPr="00707B40">
              <w:rPr>
                <w:rFonts w:ascii="Cambria" w:hAnsi="Cambria" w:cs="Arial"/>
              </w:rPr>
              <w:t xml:space="preserve"> in the Balanced Strategy,</w:t>
            </w:r>
            <w:r w:rsidRPr="00707B40">
              <w:rPr>
                <w:rFonts w:ascii="Cambria" w:hAnsi="Cambria" w:cs="Arial"/>
              </w:rPr>
              <w:t xml:space="preserve"> for hedging purposes only, when this is necessary to mitigate risk and avoid further losses on the portfolio. Such use of derivatives shall </w:t>
            </w:r>
            <w:r w:rsidR="00406B4E" w:rsidRPr="00707B40">
              <w:rPr>
                <w:rFonts w:ascii="Cambria" w:hAnsi="Cambria" w:cs="Arial"/>
              </w:rPr>
              <w:t xml:space="preserve">not </w:t>
            </w:r>
            <w:r w:rsidRPr="00707B40">
              <w:rPr>
                <w:rFonts w:ascii="Cambria" w:hAnsi="Cambria" w:cs="Arial"/>
              </w:rPr>
              <w:t xml:space="preserve">be </w:t>
            </w:r>
            <w:r w:rsidR="00406B4E" w:rsidRPr="00707B40">
              <w:rPr>
                <w:rFonts w:ascii="Cambria" w:hAnsi="Cambria" w:cs="Arial"/>
              </w:rPr>
              <w:t xml:space="preserve">part of </w:t>
            </w:r>
            <w:r w:rsidRPr="00707B40">
              <w:rPr>
                <w:rFonts w:ascii="Cambria" w:hAnsi="Cambria" w:cs="Arial"/>
              </w:rPr>
              <w:t xml:space="preserve">the </w:t>
            </w:r>
            <w:r w:rsidR="00201049" w:rsidRPr="00707B40">
              <w:rPr>
                <w:rFonts w:ascii="Cambria" w:hAnsi="Cambria" w:cs="Arial"/>
              </w:rPr>
              <w:t xml:space="preserve">Asset Allocation. </w:t>
            </w:r>
          </w:p>
          <w:p w14:paraId="0DAF75F1" w14:textId="77777777" w:rsidR="00707B40" w:rsidRPr="00707B40" w:rsidRDefault="00707B40" w:rsidP="00707B40">
            <w:pPr>
              <w:spacing w:after="120" w:line="360" w:lineRule="auto"/>
              <w:jc w:val="both"/>
              <w:rPr>
                <w:rFonts w:ascii="Cambria" w:hAnsi="Cambria" w:cs="Arial"/>
              </w:rPr>
            </w:pPr>
          </w:p>
          <w:p w14:paraId="70EA169B" w14:textId="77777777" w:rsidR="007909CE" w:rsidRPr="00707B40" w:rsidRDefault="007909CE" w:rsidP="00707B40">
            <w:pPr>
              <w:pStyle w:val="ListParagraph"/>
              <w:numPr>
                <w:ilvl w:val="0"/>
                <w:numId w:val="26"/>
              </w:numPr>
              <w:spacing w:after="120" w:line="360" w:lineRule="auto"/>
              <w:ind w:left="0" w:firstLine="0"/>
              <w:jc w:val="both"/>
              <w:rPr>
                <w:rFonts w:ascii="Cambria" w:hAnsi="Cambria"/>
                <w:b/>
                <w:sz w:val="22"/>
                <w:szCs w:val="22"/>
                <w:u w:val="single"/>
              </w:rPr>
            </w:pPr>
            <w:r w:rsidRPr="00707B40">
              <w:rPr>
                <w:rFonts w:ascii="Cambria" w:hAnsi="Cambria"/>
                <w:b/>
                <w:sz w:val="22"/>
                <w:szCs w:val="22"/>
                <w:u w:val="single"/>
              </w:rPr>
              <w:t>Monitoring of Investment and Rebalancing</w:t>
            </w:r>
          </w:p>
          <w:p w14:paraId="386DF3B0" w14:textId="3E60028E" w:rsidR="007909CE" w:rsidRDefault="007909CE" w:rsidP="00707B40">
            <w:pPr>
              <w:spacing w:after="120" w:line="360" w:lineRule="auto"/>
              <w:jc w:val="both"/>
              <w:rPr>
                <w:rFonts w:ascii="Cambria" w:hAnsi="Cambria" w:cs="Arial"/>
              </w:rPr>
            </w:pPr>
            <w:r w:rsidRPr="00707B40">
              <w:rPr>
                <w:rFonts w:ascii="Cambria" w:hAnsi="Cambria" w:cs="Arial"/>
              </w:rPr>
              <w:t xml:space="preserve">The </w:t>
            </w:r>
            <w:r w:rsidR="00BA690B" w:rsidRPr="00707B40">
              <w:rPr>
                <w:rFonts w:ascii="Cambria" w:hAnsi="Cambria" w:cs="Arial"/>
              </w:rPr>
              <w:t>Portfolio Manager</w:t>
            </w:r>
            <w:r w:rsidR="00D903DB" w:rsidRPr="00707B40">
              <w:rPr>
                <w:rFonts w:ascii="Cambria" w:hAnsi="Cambria" w:cs="Arial"/>
              </w:rPr>
              <w:t xml:space="preserve"> </w:t>
            </w:r>
            <w:r w:rsidRPr="00707B40">
              <w:rPr>
                <w:rFonts w:ascii="Cambria" w:hAnsi="Cambria" w:cs="Arial"/>
              </w:rPr>
              <w:t>will focus its assessment on long-term issue</w:t>
            </w:r>
            <w:r w:rsidR="00BA690B" w:rsidRPr="00707B40">
              <w:rPr>
                <w:rFonts w:ascii="Cambria" w:hAnsi="Cambria" w:cs="Arial"/>
              </w:rPr>
              <w:t>s related to the management of c</w:t>
            </w:r>
            <w:r w:rsidRPr="00707B40">
              <w:rPr>
                <w:rFonts w:ascii="Cambria" w:hAnsi="Cambria" w:cs="Arial"/>
              </w:rPr>
              <w:t>lient</w:t>
            </w:r>
            <w:r w:rsidR="00BA690B" w:rsidRPr="00707B40">
              <w:rPr>
                <w:rFonts w:ascii="Cambria" w:hAnsi="Cambria" w:cs="Arial"/>
              </w:rPr>
              <w:t>’s</w:t>
            </w:r>
            <w:r w:rsidRPr="00707B40">
              <w:rPr>
                <w:rFonts w:ascii="Cambria" w:hAnsi="Cambria" w:cs="Arial"/>
              </w:rPr>
              <w:t xml:space="preserve"> funds, both qualitatively and quantitatively. Qualitative factors may include fundamental changes in a </w:t>
            </w:r>
            <w:r w:rsidR="009F5266" w:rsidRPr="00707B40">
              <w:rPr>
                <w:rFonts w:ascii="Cambria" w:hAnsi="Cambria" w:cs="Arial"/>
              </w:rPr>
              <w:t>Por</w:t>
            </w:r>
            <w:r w:rsidRPr="00707B40">
              <w:rPr>
                <w:rFonts w:ascii="Cambria" w:hAnsi="Cambria" w:cs="Arial"/>
              </w:rPr>
              <w:t xml:space="preserve">tfolio </w:t>
            </w:r>
            <w:r w:rsidR="009F5266" w:rsidRPr="00707B40">
              <w:rPr>
                <w:rFonts w:ascii="Cambria" w:hAnsi="Cambria" w:cs="Arial"/>
              </w:rPr>
              <w:t>Ma</w:t>
            </w:r>
            <w:r w:rsidRPr="00707B40">
              <w:rPr>
                <w:rFonts w:ascii="Cambria" w:hAnsi="Cambria" w:cs="Arial"/>
              </w:rPr>
              <w:t>nager’s investment philosophy, organizational structure, and financial conditions (including any significant changes in total assets under management).  No single factor will determine whether an investment option should be added, retained, or eliminated.</w:t>
            </w:r>
          </w:p>
          <w:p w14:paraId="044EE120" w14:textId="77777777" w:rsidR="00707B40" w:rsidRPr="00707B40" w:rsidRDefault="00707B40" w:rsidP="00707B40">
            <w:pPr>
              <w:spacing w:after="120" w:line="360" w:lineRule="auto"/>
              <w:jc w:val="both"/>
              <w:rPr>
                <w:rFonts w:ascii="Cambria" w:hAnsi="Cambria" w:cs="Arial"/>
              </w:rPr>
            </w:pPr>
          </w:p>
          <w:p w14:paraId="6D2A74B6" w14:textId="77777777" w:rsidR="007909CE" w:rsidRPr="00707B40" w:rsidRDefault="007909CE" w:rsidP="00707B40">
            <w:pPr>
              <w:spacing w:after="120" w:line="360" w:lineRule="auto"/>
              <w:jc w:val="both"/>
              <w:rPr>
                <w:rFonts w:ascii="Cambria" w:hAnsi="Cambria" w:cs="Arial"/>
              </w:rPr>
            </w:pPr>
            <w:r w:rsidRPr="00707B40">
              <w:rPr>
                <w:rFonts w:ascii="Cambria" w:hAnsi="Cambria" w:cs="Arial"/>
              </w:rPr>
              <w:t xml:space="preserve">Diversification alone is not enough to minimize risks and provide targeted level of return. The </w:t>
            </w:r>
            <w:r w:rsidR="00BA690B" w:rsidRPr="00707B40">
              <w:rPr>
                <w:rFonts w:ascii="Cambria" w:hAnsi="Cambria" w:cs="Arial"/>
              </w:rPr>
              <w:t xml:space="preserve">Portfolio Managers </w:t>
            </w:r>
            <w:r w:rsidRPr="00707B40">
              <w:rPr>
                <w:rFonts w:ascii="Cambria" w:hAnsi="Cambria" w:cs="Arial"/>
              </w:rPr>
              <w:t xml:space="preserve">regularly reviews and rebalances </w:t>
            </w:r>
            <w:r w:rsidR="00392D30" w:rsidRPr="00707B40">
              <w:rPr>
                <w:rFonts w:ascii="Cambria" w:hAnsi="Cambria" w:cs="Arial"/>
              </w:rPr>
              <w:t xml:space="preserve">the </w:t>
            </w:r>
            <w:r w:rsidRPr="00707B40">
              <w:rPr>
                <w:rFonts w:ascii="Cambria" w:hAnsi="Cambria" w:cs="Arial"/>
              </w:rPr>
              <w:t xml:space="preserve">portfolio. Over time, market performance can shift portfolio’s allocation, making it either more aggressive or more conservative than originally planned. Portfolio Manager </w:t>
            </w:r>
            <w:proofErr w:type="gramStart"/>
            <w:r w:rsidRPr="00707B40">
              <w:rPr>
                <w:rFonts w:ascii="Cambria" w:hAnsi="Cambria" w:cs="Arial"/>
              </w:rPr>
              <w:t>perform</w:t>
            </w:r>
            <w:r w:rsidR="00392D30" w:rsidRPr="00707B40">
              <w:rPr>
                <w:rFonts w:ascii="Cambria" w:hAnsi="Cambria" w:cs="Arial"/>
              </w:rPr>
              <w:t>s</w:t>
            </w:r>
            <w:r w:rsidRPr="00707B40">
              <w:rPr>
                <w:rFonts w:ascii="Cambria" w:hAnsi="Cambria" w:cs="Arial"/>
              </w:rPr>
              <w:t xml:space="preserve"> </w:t>
            </w:r>
            <w:r w:rsidR="00392D30" w:rsidRPr="00707B40">
              <w:rPr>
                <w:rFonts w:ascii="Cambria" w:hAnsi="Cambria" w:cs="Arial"/>
              </w:rPr>
              <w:t xml:space="preserve"> an</w:t>
            </w:r>
            <w:proofErr w:type="gramEnd"/>
            <w:r w:rsidR="00392D30" w:rsidRPr="00707B40">
              <w:rPr>
                <w:rFonts w:ascii="Cambria" w:hAnsi="Cambria" w:cs="Arial"/>
              </w:rPr>
              <w:t xml:space="preserve"> </w:t>
            </w:r>
            <w:r w:rsidRPr="00707B40">
              <w:rPr>
                <w:rFonts w:ascii="Cambria" w:hAnsi="Cambria" w:cs="Arial"/>
              </w:rPr>
              <w:t>ongoing evaluation of portfolio periodically and adjust it, if necessary.</w:t>
            </w:r>
          </w:p>
          <w:p w14:paraId="3B59CF24" w14:textId="77777777" w:rsidR="004235F2" w:rsidRPr="00707B40" w:rsidRDefault="004235F2" w:rsidP="00707B40">
            <w:pPr>
              <w:spacing w:after="120" w:line="360" w:lineRule="auto"/>
              <w:rPr>
                <w:rFonts w:ascii="Cambria" w:hAnsi="Cambria" w:cs="Arial"/>
              </w:rPr>
            </w:pPr>
          </w:p>
          <w:p w14:paraId="10CC58CA" w14:textId="77777777" w:rsidR="007909CE" w:rsidRPr="00707B40" w:rsidRDefault="007909CE" w:rsidP="00707B40">
            <w:pPr>
              <w:pStyle w:val="ListParagraph"/>
              <w:numPr>
                <w:ilvl w:val="0"/>
                <w:numId w:val="26"/>
              </w:numPr>
              <w:spacing w:after="120" w:line="360" w:lineRule="auto"/>
              <w:ind w:left="0" w:firstLine="0"/>
              <w:jc w:val="both"/>
              <w:rPr>
                <w:rFonts w:ascii="Cambria" w:hAnsi="Cambria"/>
                <w:b/>
                <w:sz w:val="22"/>
                <w:szCs w:val="22"/>
                <w:u w:val="single"/>
              </w:rPr>
            </w:pPr>
            <w:r w:rsidRPr="00707B40">
              <w:rPr>
                <w:rFonts w:ascii="Cambria" w:hAnsi="Cambria"/>
                <w:b/>
                <w:sz w:val="22"/>
                <w:szCs w:val="22"/>
                <w:u w:val="single"/>
              </w:rPr>
              <w:lastRenderedPageBreak/>
              <w:t>Risk Mitigation techniques</w:t>
            </w:r>
          </w:p>
          <w:p w14:paraId="415679A5" w14:textId="1B2E01F1" w:rsidR="007909CE" w:rsidRPr="00707B40" w:rsidRDefault="00240900" w:rsidP="00707B40">
            <w:pPr>
              <w:spacing w:after="120" w:line="360" w:lineRule="auto"/>
              <w:jc w:val="both"/>
              <w:rPr>
                <w:rFonts w:ascii="Cambria" w:hAnsi="Cambria" w:cs="Arial"/>
              </w:rPr>
            </w:pPr>
            <w:r w:rsidRPr="00707B40">
              <w:rPr>
                <w:rFonts w:ascii="Cambria" w:hAnsi="Cambria" w:cs="Arial"/>
              </w:rPr>
              <w:t>One of</w:t>
            </w:r>
            <w:r w:rsidR="007909CE" w:rsidRPr="00707B40">
              <w:rPr>
                <w:rFonts w:ascii="Cambria" w:hAnsi="Cambria" w:cs="Arial"/>
              </w:rPr>
              <w:t xml:space="preserve"> key parameter</w:t>
            </w:r>
            <w:r w:rsidRPr="00707B40">
              <w:rPr>
                <w:rFonts w:ascii="Cambria" w:hAnsi="Cambria" w:cs="Arial"/>
              </w:rPr>
              <w:t>s</w:t>
            </w:r>
            <w:r w:rsidR="007909CE" w:rsidRPr="00707B40">
              <w:rPr>
                <w:rFonts w:ascii="Cambria" w:hAnsi="Cambria" w:cs="Arial"/>
              </w:rPr>
              <w:t xml:space="preserve"> for risk valuation is the Portfolio Value at Risk (the “VAR”). VAR is a financial metric that estimates the risk of an investment. More specifically, VAR is a statistical technique used to measure the amount of potential loss that could happen in an investment portfolio over a specified </w:t>
            </w:r>
            <w:proofErr w:type="gramStart"/>
            <w:r w:rsidR="007909CE" w:rsidRPr="00707B40">
              <w:rPr>
                <w:rFonts w:ascii="Cambria" w:hAnsi="Cambria" w:cs="Arial"/>
              </w:rPr>
              <w:t>period of time</w:t>
            </w:r>
            <w:proofErr w:type="gramEnd"/>
            <w:r w:rsidR="007909CE" w:rsidRPr="00707B40">
              <w:rPr>
                <w:rFonts w:ascii="Cambria" w:hAnsi="Cambria" w:cs="Arial"/>
              </w:rPr>
              <w:t xml:space="preserve">. </w:t>
            </w:r>
          </w:p>
          <w:p w14:paraId="4C305C85" w14:textId="77777777" w:rsidR="007909CE" w:rsidRDefault="007909CE" w:rsidP="00707B40">
            <w:pPr>
              <w:spacing w:after="120" w:line="360" w:lineRule="auto"/>
              <w:jc w:val="both"/>
              <w:rPr>
                <w:rFonts w:ascii="Cambria" w:hAnsi="Cambria" w:cs="Arial"/>
              </w:rPr>
            </w:pPr>
            <w:r w:rsidRPr="00707B40">
              <w:rPr>
                <w:rFonts w:ascii="Cambria" w:hAnsi="Cambria" w:cs="Arial"/>
              </w:rPr>
              <w:t>Value at Risk is appl</w:t>
            </w:r>
            <w:r w:rsidR="0060296C" w:rsidRPr="00707B40">
              <w:rPr>
                <w:rFonts w:ascii="Cambria" w:hAnsi="Cambria" w:cs="Arial"/>
              </w:rPr>
              <w:t xml:space="preserve">icable to all types of assets, including but not limited to </w:t>
            </w:r>
            <w:r w:rsidRPr="00707B40">
              <w:rPr>
                <w:rFonts w:ascii="Cambria" w:hAnsi="Cambria" w:cs="Arial"/>
              </w:rPr>
              <w:t xml:space="preserve">bonds, shares, derivatives, currencies, etc. Thus, VAR can be easily used by different banks and financial institutions to assess the profitability and risk of different investments, and allocate risk based on </w:t>
            </w:r>
            <w:proofErr w:type="spellStart"/>
            <w:r w:rsidRPr="00707B40">
              <w:rPr>
                <w:rFonts w:ascii="Cambria" w:hAnsi="Cambria" w:cs="Arial"/>
              </w:rPr>
              <w:t>VaR</w:t>
            </w:r>
            <w:proofErr w:type="spellEnd"/>
            <w:r w:rsidR="00643595" w:rsidRPr="00707B40">
              <w:rPr>
                <w:rFonts w:ascii="Cambria" w:hAnsi="Cambria" w:cs="Arial"/>
              </w:rPr>
              <w:t xml:space="preserve"> However, such risk mitigation techniques may involve additional expenses and might affect portfolio performance.  </w:t>
            </w:r>
          </w:p>
          <w:p w14:paraId="77924A2D" w14:textId="1F4C4644" w:rsidR="00707B40" w:rsidRPr="00707B40" w:rsidRDefault="00707B40" w:rsidP="00707B40">
            <w:pPr>
              <w:spacing w:after="120" w:line="360" w:lineRule="auto"/>
              <w:jc w:val="both"/>
              <w:rPr>
                <w:rFonts w:ascii="Cambria" w:hAnsi="Cambria" w:cs="Arial"/>
              </w:rPr>
            </w:pPr>
          </w:p>
        </w:tc>
        <w:tc>
          <w:tcPr>
            <w:tcW w:w="9359" w:type="dxa"/>
            <w:tcBorders>
              <w:top w:val="nil"/>
              <w:left w:val="nil"/>
              <w:bottom w:val="nil"/>
              <w:right w:val="nil"/>
            </w:tcBorders>
          </w:tcPr>
          <w:p w14:paraId="4234A904" w14:textId="77777777" w:rsidR="007909CE" w:rsidRPr="00707B40" w:rsidRDefault="007909CE" w:rsidP="00707B40">
            <w:pPr>
              <w:pStyle w:val="Title"/>
              <w:spacing w:after="120" w:line="360" w:lineRule="auto"/>
              <w:jc w:val="left"/>
              <w:rPr>
                <w:rFonts w:ascii="Cambria" w:hAnsi="Cambria"/>
                <w:b w:val="0"/>
                <w:sz w:val="22"/>
                <w:szCs w:val="22"/>
              </w:rPr>
            </w:pPr>
          </w:p>
        </w:tc>
      </w:tr>
      <w:tr w:rsidR="007909CE" w:rsidRPr="00707B40" w14:paraId="405F1AD6" w14:textId="77777777" w:rsidTr="009F5266">
        <w:trPr>
          <w:trHeight w:val="5764"/>
        </w:trPr>
        <w:tc>
          <w:tcPr>
            <w:tcW w:w="9501" w:type="dxa"/>
            <w:tcBorders>
              <w:top w:val="nil"/>
              <w:left w:val="nil"/>
              <w:bottom w:val="nil"/>
              <w:right w:val="nil"/>
            </w:tcBorders>
          </w:tcPr>
          <w:p w14:paraId="62F67239" w14:textId="4158BF21" w:rsidR="007909CE" w:rsidRPr="00707B40" w:rsidRDefault="007909CE" w:rsidP="00707B40">
            <w:pPr>
              <w:pStyle w:val="ListParagraph"/>
              <w:numPr>
                <w:ilvl w:val="0"/>
                <w:numId w:val="26"/>
              </w:numPr>
              <w:spacing w:after="120" w:line="360" w:lineRule="auto"/>
              <w:ind w:left="0" w:firstLine="0"/>
              <w:jc w:val="both"/>
              <w:rPr>
                <w:rFonts w:ascii="Cambria" w:hAnsi="Cambria"/>
                <w:b/>
                <w:sz w:val="22"/>
                <w:szCs w:val="22"/>
                <w:u w:val="single"/>
              </w:rPr>
            </w:pPr>
            <w:r w:rsidRPr="00707B40">
              <w:rPr>
                <w:rFonts w:ascii="Cambria" w:hAnsi="Cambria"/>
                <w:b/>
                <w:sz w:val="22"/>
                <w:szCs w:val="22"/>
                <w:u w:val="single"/>
              </w:rPr>
              <w:lastRenderedPageBreak/>
              <w:t>Performance Metrics</w:t>
            </w:r>
          </w:p>
          <w:p w14:paraId="5424D533" w14:textId="765A2E88" w:rsidR="007909CE" w:rsidRDefault="007909CE" w:rsidP="00707B40">
            <w:pPr>
              <w:spacing w:before="120" w:after="120" w:line="360" w:lineRule="auto"/>
              <w:jc w:val="both"/>
              <w:rPr>
                <w:rFonts w:ascii="Cambria" w:hAnsi="Cambria"/>
              </w:rPr>
            </w:pPr>
            <w:r w:rsidRPr="00707B40">
              <w:rPr>
                <w:rFonts w:ascii="Cambria" w:hAnsi="Cambria"/>
              </w:rPr>
              <w:t xml:space="preserve">The performance objective of the </w:t>
            </w:r>
            <w:r w:rsidR="006E19FF" w:rsidRPr="00707B40">
              <w:rPr>
                <w:rFonts w:ascii="Cambria" w:hAnsi="Cambria"/>
              </w:rPr>
              <w:t>p</w:t>
            </w:r>
            <w:r w:rsidRPr="00707B40">
              <w:rPr>
                <w:rFonts w:ascii="Cambria" w:hAnsi="Cambria"/>
              </w:rPr>
              <w:t xml:space="preserve">ortfolio is to meet or exceed, where possible, the return of targeted goals, on a consistent basis over time, net of all costs and fees. The investment approach is intended to be consistent over time and among asset classes. Incremental changes to asset class allocation will be proposed when such actions are anticipated to improve returns and/or reduce risk. For the portfolio performance measurements, our </w:t>
            </w:r>
            <w:r w:rsidR="00BA690B" w:rsidRPr="00707B40">
              <w:rPr>
                <w:rFonts w:ascii="Cambria" w:hAnsi="Cambria"/>
              </w:rPr>
              <w:t>Portfolio Managers</w:t>
            </w:r>
            <w:r w:rsidRPr="00707B40">
              <w:rPr>
                <w:rFonts w:ascii="Cambria" w:hAnsi="Cambria"/>
              </w:rPr>
              <w:t xml:space="preserve"> use various metrics. </w:t>
            </w:r>
          </w:p>
          <w:p w14:paraId="7CB81DE6" w14:textId="77777777" w:rsidR="00707B40" w:rsidRPr="00707B40" w:rsidRDefault="00707B40" w:rsidP="00707B40">
            <w:pPr>
              <w:spacing w:before="120" w:after="120" w:line="360" w:lineRule="auto"/>
              <w:jc w:val="both"/>
              <w:rPr>
                <w:rFonts w:ascii="Cambria" w:hAnsi="Cambria"/>
                <w:u w:val="single"/>
              </w:rPr>
            </w:pPr>
          </w:p>
          <w:p w14:paraId="2413F28D" w14:textId="77777777" w:rsidR="007909CE" w:rsidRPr="00707B40" w:rsidRDefault="007909CE" w:rsidP="00707B40">
            <w:pPr>
              <w:pStyle w:val="ListParagraph"/>
              <w:numPr>
                <w:ilvl w:val="0"/>
                <w:numId w:val="26"/>
              </w:numPr>
              <w:spacing w:after="120" w:line="360" w:lineRule="auto"/>
              <w:ind w:left="0" w:firstLine="0"/>
              <w:jc w:val="both"/>
              <w:rPr>
                <w:rFonts w:ascii="Cambria" w:hAnsi="Cambria"/>
                <w:b/>
                <w:sz w:val="22"/>
                <w:szCs w:val="22"/>
                <w:u w:val="single"/>
              </w:rPr>
            </w:pPr>
            <w:r w:rsidRPr="00707B40">
              <w:rPr>
                <w:rFonts w:ascii="Cambria" w:hAnsi="Cambria"/>
                <w:b/>
                <w:sz w:val="22"/>
                <w:szCs w:val="22"/>
                <w:u w:val="single"/>
              </w:rPr>
              <w:t xml:space="preserve">Declaration Review and Amendments </w:t>
            </w:r>
          </w:p>
          <w:p w14:paraId="2C4CC9B7" w14:textId="77777777" w:rsidR="007909CE" w:rsidRPr="00707B40" w:rsidRDefault="00BA690B" w:rsidP="00707B40">
            <w:pPr>
              <w:spacing w:after="120" w:line="360" w:lineRule="auto"/>
              <w:jc w:val="both"/>
              <w:rPr>
                <w:rFonts w:ascii="Cambria" w:hAnsi="Cambria" w:cs="Arial"/>
              </w:rPr>
            </w:pPr>
            <w:r w:rsidRPr="00707B40">
              <w:rPr>
                <w:rFonts w:ascii="Cambria" w:hAnsi="Cambria" w:cs="Arial"/>
              </w:rPr>
              <w:t>T</w:t>
            </w:r>
            <w:r w:rsidR="007909CE" w:rsidRPr="00707B40">
              <w:rPr>
                <w:rFonts w:ascii="Cambria" w:hAnsi="Cambria" w:cs="Arial"/>
              </w:rPr>
              <w:t xml:space="preserve">his Declaration </w:t>
            </w:r>
            <w:r w:rsidRPr="00707B40">
              <w:rPr>
                <w:rFonts w:ascii="Cambria" w:hAnsi="Cambria" w:cs="Arial"/>
              </w:rPr>
              <w:t xml:space="preserve">shall be reviewed </w:t>
            </w:r>
            <w:r w:rsidR="007909CE" w:rsidRPr="00707B40">
              <w:rPr>
                <w:rFonts w:ascii="Cambria" w:hAnsi="Cambria" w:cs="Arial"/>
              </w:rPr>
              <w:t xml:space="preserve">periodically to help ensure that it continues to reflect the Investors objectives. Changes to this Declaration are expected to be infrequent, as they will reflect long-term considerations, rather than short-term changes in the financial markets. </w:t>
            </w:r>
          </w:p>
          <w:p w14:paraId="18E337B1" w14:textId="689AF7EA" w:rsidR="007909CE" w:rsidRPr="00707B40" w:rsidRDefault="006C741C" w:rsidP="00707B40">
            <w:pPr>
              <w:spacing w:before="120" w:after="120" w:line="360" w:lineRule="auto"/>
              <w:jc w:val="both"/>
              <w:rPr>
                <w:rFonts w:ascii="Cambria" w:hAnsi="Cambria"/>
              </w:rPr>
            </w:pPr>
            <w:r w:rsidRPr="00707B40">
              <w:rPr>
                <w:rFonts w:ascii="Cambria" w:hAnsi="Cambria"/>
              </w:rPr>
              <w:t>It is t</w:t>
            </w:r>
            <w:r w:rsidR="007909CE" w:rsidRPr="00707B40">
              <w:rPr>
                <w:rFonts w:ascii="Cambria" w:hAnsi="Cambria"/>
              </w:rPr>
              <w:t>he</w:t>
            </w:r>
            <w:r w:rsidRPr="00707B40">
              <w:rPr>
                <w:rFonts w:ascii="Cambria" w:hAnsi="Cambria"/>
              </w:rPr>
              <w:t xml:space="preserve"> duty of the Client to</w:t>
            </w:r>
            <w:r w:rsidR="007909CE" w:rsidRPr="00707B40">
              <w:rPr>
                <w:rFonts w:ascii="Cambria" w:hAnsi="Cambria"/>
              </w:rPr>
              <w:t xml:space="preserve"> contact the Portfolio Manager as soon as reasonably possible </w:t>
            </w:r>
            <w:proofErr w:type="gramStart"/>
            <w:r w:rsidR="007909CE" w:rsidRPr="00707B40">
              <w:rPr>
                <w:rFonts w:ascii="Cambria" w:hAnsi="Cambria"/>
              </w:rPr>
              <w:t>if and when</w:t>
            </w:r>
            <w:proofErr w:type="gramEnd"/>
            <w:r w:rsidR="007909CE" w:rsidRPr="00707B40">
              <w:rPr>
                <w:rFonts w:ascii="Cambria" w:hAnsi="Cambria"/>
              </w:rPr>
              <w:t xml:space="preserve"> any of the Client’s financial circumstances or investment objectives or risk appetite have changed. </w:t>
            </w:r>
          </w:p>
          <w:tbl>
            <w:tblPr>
              <w:tblStyle w:val="TableGrid0"/>
              <w:tblpPr w:leftFromText="180" w:rightFromText="180" w:vertAnchor="text" w:horzAnchor="margin" w:tblpY="2623"/>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9"/>
              <w:gridCol w:w="4672"/>
            </w:tblGrid>
            <w:tr w:rsidR="007909CE" w:rsidRPr="00707B40" w14:paraId="61AB2D0D" w14:textId="77777777" w:rsidTr="00DD5E98">
              <w:trPr>
                <w:trHeight w:val="3400"/>
              </w:trPr>
              <w:tc>
                <w:tcPr>
                  <w:tcW w:w="4819" w:type="dxa"/>
                </w:tcPr>
                <w:p w14:paraId="5FDC3C58" w14:textId="77777777" w:rsidR="007909CE" w:rsidRPr="00707B40" w:rsidRDefault="007909CE" w:rsidP="00707B40">
                  <w:pPr>
                    <w:spacing w:after="120" w:line="360" w:lineRule="auto"/>
                    <w:contextualSpacing/>
                    <w:jc w:val="both"/>
                    <w:rPr>
                      <w:rFonts w:ascii="Cambria" w:hAnsi="Cambria" w:cstheme="minorHAnsi"/>
                    </w:rPr>
                  </w:pPr>
                  <w:r w:rsidRPr="00707B40">
                    <w:rPr>
                      <w:rFonts w:ascii="Cambria" w:hAnsi="Cambria" w:cstheme="minorHAnsi"/>
                    </w:rPr>
                    <w:t xml:space="preserve">Signed for and on behalf of the </w:t>
                  </w:r>
                </w:p>
                <w:p w14:paraId="1F03DAE8" w14:textId="77777777" w:rsidR="007909CE" w:rsidRPr="00707B40" w:rsidRDefault="007909CE" w:rsidP="00707B40">
                  <w:pPr>
                    <w:spacing w:after="120" w:line="360" w:lineRule="auto"/>
                    <w:contextualSpacing/>
                    <w:jc w:val="both"/>
                    <w:rPr>
                      <w:rFonts w:ascii="Cambria" w:hAnsi="Cambria" w:cstheme="minorHAnsi"/>
                    </w:rPr>
                  </w:pPr>
                  <w:r w:rsidRPr="00707B40">
                    <w:rPr>
                      <w:rFonts w:ascii="Cambria" w:hAnsi="Cambria" w:cstheme="minorHAnsi"/>
                      <w:b/>
                    </w:rPr>
                    <w:t>INVESTMENT MANAGER</w:t>
                  </w:r>
                </w:p>
                <w:p w14:paraId="71F1AF13" w14:textId="77777777" w:rsidR="007909CE" w:rsidRPr="00707B40" w:rsidRDefault="007909CE" w:rsidP="00707B40">
                  <w:pPr>
                    <w:spacing w:after="120" w:line="360" w:lineRule="auto"/>
                    <w:contextualSpacing/>
                    <w:jc w:val="both"/>
                    <w:rPr>
                      <w:rFonts w:ascii="Cambria" w:hAnsi="Cambria" w:cstheme="minorHAnsi"/>
                    </w:rPr>
                  </w:pPr>
                </w:p>
                <w:p w14:paraId="5FD65FF7" w14:textId="77777777" w:rsidR="007909CE" w:rsidRPr="00707B40" w:rsidRDefault="007909CE" w:rsidP="00707B40">
                  <w:pPr>
                    <w:spacing w:after="120" w:line="360" w:lineRule="auto"/>
                    <w:contextualSpacing/>
                    <w:jc w:val="both"/>
                    <w:rPr>
                      <w:rFonts w:ascii="Cambria" w:hAnsi="Cambria" w:cstheme="minorHAnsi"/>
                    </w:rPr>
                  </w:pPr>
                </w:p>
                <w:p w14:paraId="3E2C6E82" w14:textId="77777777" w:rsidR="007909CE" w:rsidRPr="00707B40" w:rsidRDefault="007909CE" w:rsidP="00707B40">
                  <w:pPr>
                    <w:spacing w:after="120" w:line="360" w:lineRule="auto"/>
                    <w:contextualSpacing/>
                    <w:jc w:val="both"/>
                    <w:rPr>
                      <w:rFonts w:ascii="Cambria" w:hAnsi="Cambria" w:cstheme="minorHAnsi"/>
                    </w:rPr>
                  </w:pPr>
                  <w:r w:rsidRPr="00707B40">
                    <w:rPr>
                      <w:rFonts w:ascii="Cambria" w:hAnsi="Cambria" w:cstheme="minorHAnsi"/>
                    </w:rPr>
                    <w:t>____________________________</w:t>
                  </w:r>
                </w:p>
                <w:p w14:paraId="49983AA8" w14:textId="77777777" w:rsidR="007909CE" w:rsidRPr="00707B40" w:rsidRDefault="007909CE" w:rsidP="00707B40">
                  <w:pPr>
                    <w:spacing w:after="120" w:line="360" w:lineRule="auto"/>
                    <w:contextualSpacing/>
                    <w:jc w:val="both"/>
                    <w:rPr>
                      <w:rFonts w:ascii="Cambria" w:hAnsi="Cambria" w:cstheme="minorHAnsi"/>
                    </w:rPr>
                  </w:pPr>
                  <w:r w:rsidRPr="00707B40">
                    <w:rPr>
                      <w:rFonts w:ascii="Cambria" w:hAnsi="Cambria" w:cstheme="minorHAnsi"/>
                    </w:rPr>
                    <w:t>By: Skanestas Investments Limited</w:t>
                  </w:r>
                </w:p>
                <w:p w14:paraId="700F192B" w14:textId="77777777" w:rsidR="007909CE" w:rsidRPr="00707B40" w:rsidRDefault="007909CE" w:rsidP="00707B40">
                  <w:pPr>
                    <w:spacing w:after="120" w:line="360" w:lineRule="auto"/>
                    <w:contextualSpacing/>
                    <w:jc w:val="both"/>
                    <w:rPr>
                      <w:rFonts w:ascii="Cambria" w:hAnsi="Cambria" w:cstheme="minorHAnsi"/>
                    </w:rPr>
                  </w:pPr>
                  <w:r w:rsidRPr="00707B40">
                    <w:rPr>
                      <w:rFonts w:ascii="Cambria" w:hAnsi="Cambria" w:cstheme="minorHAnsi"/>
                    </w:rPr>
                    <w:t>Title: Director</w:t>
                  </w:r>
                  <w:r w:rsidRPr="00707B40">
                    <w:rPr>
                      <w:rFonts w:ascii="Cambria" w:hAnsi="Cambria" w:cstheme="minorHAnsi"/>
                    </w:rPr>
                    <w:tab/>
                  </w:r>
                </w:p>
                <w:p w14:paraId="0E45742B" w14:textId="77777777" w:rsidR="007909CE" w:rsidRPr="00707B40" w:rsidRDefault="007909CE" w:rsidP="00707B40">
                  <w:pPr>
                    <w:spacing w:after="120" w:line="360" w:lineRule="auto"/>
                    <w:contextualSpacing/>
                    <w:jc w:val="both"/>
                    <w:rPr>
                      <w:rFonts w:ascii="Cambria" w:hAnsi="Cambria" w:cstheme="minorHAnsi"/>
                    </w:rPr>
                  </w:pPr>
                  <w:r w:rsidRPr="00707B40">
                    <w:rPr>
                      <w:rFonts w:ascii="Cambria" w:hAnsi="Cambria" w:cstheme="minorHAnsi"/>
                    </w:rPr>
                    <w:t>Name: Kirill Kuchinskiy</w:t>
                  </w:r>
                </w:p>
              </w:tc>
              <w:tc>
                <w:tcPr>
                  <w:tcW w:w="4672" w:type="dxa"/>
                </w:tcPr>
                <w:p w14:paraId="19865EAE" w14:textId="77777777" w:rsidR="007909CE" w:rsidRPr="00707B40" w:rsidRDefault="007909CE" w:rsidP="00707B40">
                  <w:pPr>
                    <w:spacing w:after="120" w:line="360" w:lineRule="auto"/>
                    <w:contextualSpacing/>
                    <w:jc w:val="both"/>
                    <w:rPr>
                      <w:rFonts w:ascii="Cambria" w:hAnsi="Cambria" w:cstheme="minorHAnsi"/>
                    </w:rPr>
                  </w:pPr>
                  <w:r w:rsidRPr="00707B40">
                    <w:rPr>
                      <w:rFonts w:ascii="Cambria" w:hAnsi="Cambria" w:cstheme="minorHAnsi"/>
                    </w:rPr>
                    <w:t xml:space="preserve">Signed by/ for and on behalf of the </w:t>
                  </w:r>
                </w:p>
                <w:p w14:paraId="52EAF082" w14:textId="77777777" w:rsidR="007909CE" w:rsidRPr="00707B40" w:rsidRDefault="007909CE" w:rsidP="00707B40">
                  <w:pPr>
                    <w:spacing w:after="120" w:line="360" w:lineRule="auto"/>
                    <w:contextualSpacing/>
                    <w:jc w:val="both"/>
                    <w:rPr>
                      <w:rFonts w:ascii="Cambria" w:hAnsi="Cambria" w:cstheme="minorHAnsi"/>
                    </w:rPr>
                  </w:pPr>
                  <w:r w:rsidRPr="00707B40">
                    <w:rPr>
                      <w:rFonts w:ascii="Cambria" w:hAnsi="Cambria" w:cstheme="minorHAnsi"/>
                      <w:b/>
                    </w:rPr>
                    <w:t>CLIENT</w:t>
                  </w:r>
                </w:p>
                <w:p w14:paraId="1A198704" w14:textId="77777777" w:rsidR="007909CE" w:rsidRPr="00707B40" w:rsidRDefault="007909CE" w:rsidP="00707B40">
                  <w:pPr>
                    <w:spacing w:after="120" w:line="360" w:lineRule="auto"/>
                    <w:contextualSpacing/>
                    <w:jc w:val="both"/>
                    <w:rPr>
                      <w:rFonts w:ascii="Cambria" w:hAnsi="Cambria" w:cstheme="minorHAnsi"/>
                    </w:rPr>
                  </w:pPr>
                </w:p>
                <w:p w14:paraId="605D6B7C" w14:textId="77777777" w:rsidR="007909CE" w:rsidRPr="00707B40" w:rsidRDefault="007909CE" w:rsidP="00707B40">
                  <w:pPr>
                    <w:spacing w:after="120" w:line="360" w:lineRule="auto"/>
                    <w:contextualSpacing/>
                    <w:jc w:val="both"/>
                    <w:rPr>
                      <w:rFonts w:ascii="Cambria" w:hAnsi="Cambria" w:cstheme="minorHAnsi"/>
                    </w:rPr>
                  </w:pPr>
                </w:p>
                <w:p w14:paraId="7AF15560" w14:textId="77777777" w:rsidR="007909CE" w:rsidRPr="00707B40" w:rsidRDefault="007909CE" w:rsidP="00707B40">
                  <w:pPr>
                    <w:spacing w:after="120" w:line="360" w:lineRule="auto"/>
                    <w:contextualSpacing/>
                    <w:jc w:val="both"/>
                    <w:rPr>
                      <w:rFonts w:ascii="Cambria" w:hAnsi="Cambria" w:cstheme="minorHAnsi"/>
                    </w:rPr>
                  </w:pPr>
                  <w:r w:rsidRPr="00707B40">
                    <w:rPr>
                      <w:rFonts w:ascii="Cambria" w:hAnsi="Cambria" w:cstheme="minorHAnsi"/>
                    </w:rPr>
                    <w:t>____________________________</w:t>
                  </w:r>
                </w:p>
                <w:p w14:paraId="22A9A853" w14:textId="13E17148" w:rsidR="007909CE" w:rsidRPr="00707B40" w:rsidRDefault="000A6C0D" w:rsidP="00707B40">
                  <w:pPr>
                    <w:spacing w:after="120" w:line="360" w:lineRule="auto"/>
                    <w:contextualSpacing/>
                    <w:jc w:val="both"/>
                    <w:rPr>
                      <w:rFonts w:ascii="Cambria" w:hAnsi="Cambria" w:cstheme="minorHAnsi"/>
                    </w:rPr>
                  </w:pPr>
                  <w:r w:rsidRPr="00707B40">
                    <w:rPr>
                      <w:rFonts w:ascii="Cambria" w:hAnsi="Cambria" w:cstheme="minorHAnsi"/>
                    </w:rPr>
                    <w:t xml:space="preserve">Name: </w:t>
                  </w:r>
                  <w:r w:rsidR="00DE6874" w:rsidRPr="00707B40">
                    <w:rPr>
                      <w:rFonts w:ascii="Cambria" w:hAnsi="Cambria" w:cs="Times New Roman"/>
                    </w:rPr>
                    <w:t xml:space="preserve">_____________ </w:t>
                  </w:r>
                </w:p>
              </w:tc>
            </w:tr>
          </w:tbl>
          <w:p w14:paraId="622C5DE7" w14:textId="173F573B" w:rsidR="007909CE" w:rsidRPr="00707B40" w:rsidRDefault="007909CE" w:rsidP="00707B40">
            <w:pPr>
              <w:spacing w:before="120" w:after="120" w:line="360" w:lineRule="auto"/>
              <w:jc w:val="both"/>
              <w:rPr>
                <w:rFonts w:ascii="Cambria" w:hAnsi="Cambria" w:cs="Times New Roman"/>
                <w:lang w:eastAsia="ru-RU"/>
              </w:rPr>
            </w:pPr>
            <w:r w:rsidRPr="00707B40">
              <w:rPr>
                <w:rFonts w:ascii="Cambria" w:hAnsi="Cambria" w:cs="Times New Roman"/>
                <w:lang w:eastAsia="ru-RU"/>
              </w:rPr>
              <w:t xml:space="preserve">By signing the Investment Declaration, the Client confirms that the Client has read and understood the terms and conditions of the Agreement, of this Investment Declaration and all other annexes to the Agreement and that he/she is aware of the risks. </w:t>
            </w:r>
          </w:p>
        </w:tc>
        <w:tc>
          <w:tcPr>
            <w:tcW w:w="9359" w:type="dxa"/>
            <w:tcBorders>
              <w:top w:val="nil"/>
              <w:left w:val="nil"/>
              <w:bottom w:val="nil"/>
              <w:right w:val="nil"/>
            </w:tcBorders>
          </w:tcPr>
          <w:p w14:paraId="5B1B4627" w14:textId="77777777" w:rsidR="007909CE" w:rsidRPr="00707B40" w:rsidRDefault="007909CE" w:rsidP="00707B40">
            <w:pPr>
              <w:spacing w:before="120" w:after="120" w:line="360" w:lineRule="auto"/>
              <w:ind w:left="360"/>
              <w:rPr>
                <w:rFonts w:ascii="Cambria" w:hAnsi="Cambria"/>
                <w:b/>
              </w:rPr>
            </w:pPr>
          </w:p>
        </w:tc>
      </w:tr>
      <w:tr w:rsidR="007909CE" w:rsidRPr="00707B40" w14:paraId="5BC431DE" w14:textId="77777777" w:rsidTr="009F5266">
        <w:trPr>
          <w:trHeight w:val="5764"/>
        </w:trPr>
        <w:tc>
          <w:tcPr>
            <w:tcW w:w="9501" w:type="dxa"/>
            <w:tcBorders>
              <w:top w:val="nil"/>
              <w:left w:val="nil"/>
              <w:bottom w:val="nil"/>
              <w:right w:val="nil"/>
            </w:tcBorders>
          </w:tcPr>
          <w:p w14:paraId="1B956753" w14:textId="657CBD55" w:rsidR="007909CE" w:rsidRPr="00707B40" w:rsidRDefault="007909CE" w:rsidP="00707B40">
            <w:pPr>
              <w:spacing w:after="120" w:line="360" w:lineRule="auto"/>
              <w:rPr>
                <w:rFonts w:ascii="Cambria" w:hAnsi="Cambria" w:cs="Arial"/>
              </w:rPr>
            </w:pPr>
          </w:p>
          <w:p w14:paraId="4DA99DFD" w14:textId="77777777" w:rsidR="007909CE" w:rsidRPr="00707B40" w:rsidRDefault="007909CE" w:rsidP="00707B40">
            <w:pPr>
              <w:spacing w:after="120" w:line="360" w:lineRule="auto"/>
              <w:rPr>
                <w:rFonts w:ascii="Cambria" w:hAnsi="Cambria" w:cs="Times New Roman"/>
                <w:b/>
                <w:lang w:eastAsia="ru-RU"/>
              </w:rPr>
            </w:pPr>
          </w:p>
        </w:tc>
        <w:tc>
          <w:tcPr>
            <w:tcW w:w="9359" w:type="dxa"/>
            <w:tcBorders>
              <w:top w:val="nil"/>
              <w:left w:val="nil"/>
              <w:bottom w:val="nil"/>
              <w:right w:val="nil"/>
            </w:tcBorders>
          </w:tcPr>
          <w:p w14:paraId="7F1ECDA5" w14:textId="77777777" w:rsidR="007909CE" w:rsidRPr="00707B40" w:rsidRDefault="007909CE" w:rsidP="00707B40">
            <w:pPr>
              <w:spacing w:after="120" w:line="360" w:lineRule="auto"/>
              <w:rPr>
                <w:rFonts w:ascii="Cambria" w:hAnsi="Cambria" w:cs="Arial"/>
              </w:rPr>
            </w:pPr>
          </w:p>
        </w:tc>
      </w:tr>
    </w:tbl>
    <w:p w14:paraId="10BA0677" w14:textId="77777777" w:rsidR="00047F3E" w:rsidRPr="00707B40" w:rsidRDefault="00047F3E" w:rsidP="00707B40">
      <w:pPr>
        <w:spacing w:after="120" w:line="360" w:lineRule="auto"/>
        <w:rPr>
          <w:rFonts w:ascii="Cambria" w:hAnsi="Cambria" w:cstheme="minorHAnsi"/>
        </w:rPr>
      </w:pPr>
    </w:p>
    <w:sectPr w:rsidR="00047F3E" w:rsidRPr="00707B40" w:rsidSect="00707B40">
      <w:headerReference w:type="default" r:id="rId8"/>
      <w:footerReference w:type="default" r:id="rId9"/>
      <w:pgSz w:w="11906" w:h="16838"/>
      <w:pgMar w:top="1985" w:right="567" w:bottom="1560" w:left="1560"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E4FB" w14:textId="77777777" w:rsidR="004F707D" w:rsidRDefault="004F707D" w:rsidP="00224764">
      <w:pPr>
        <w:spacing w:after="0" w:line="240" w:lineRule="auto"/>
      </w:pPr>
      <w:r>
        <w:separator/>
      </w:r>
    </w:p>
  </w:endnote>
  <w:endnote w:type="continuationSeparator" w:id="0">
    <w:p w14:paraId="77F02EC6" w14:textId="77777777" w:rsidR="004F707D" w:rsidRDefault="004F707D" w:rsidP="0022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DF46" w14:textId="77777777" w:rsidR="00FE5520" w:rsidRPr="006F1841" w:rsidRDefault="009A0E91" w:rsidP="00FE5520">
    <w:pPr>
      <w:pStyle w:val="Footer"/>
      <w:jc w:val="center"/>
      <w:rPr>
        <w:rFonts w:ascii="Arial" w:hAnsi="Arial" w:cs="Arial"/>
        <w:noProof/>
        <w:color w:val="AF914D"/>
        <w:sz w:val="16"/>
        <w:szCs w:val="16"/>
        <w:lang w:eastAsia="ru-RU"/>
      </w:rPr>
    </w:pPr>
    <w:r w:rsidRPr="006F1841">
      <w:rPr>
        <w:rFonts w:ascii="Arial" w:hAnsi="Arial" w:cs="Arial"/>
        <w:noProof/>
        <w:color w:val="AF914D"/>
        <w:sz w:val="16"/>
        <w:szCs w:val="16"/>
        <w:lang w:eastAsia="ru-RU"/>
      </w:rPr>
      <w:t xml:space="preserve">Skanestas Investments Limited, </w:t>
    </w:r>
    <w:r w:rsidR="00291E4F" w:rsidRPr="006F1841">
      <w:rPr>
        <w:rFonts w:ascii="Arial" w:hAnsi="Arial" w:cs="Arial"/>
        <w:noProof/>
        <w:color w:val="AF914D"/>
        <w:sz w:val="16"/>
        <w:szCs w:val="16"/>
        <w:lang w:eastAsia="ru-RU"/>
      </w:rPr>
      <w:t xml:space="preserve">226 </w:t>
    </w:r>
    <w:r w:rsidR="00FE5520" w:rsidRPr="006F1841">
      <w:rPr>
        <w:rFonts w:ascii="Arial" w:hAnsi="Arial" w:cs="Arial"/>
        <w:noProof/>
        <w:color w:val="AF914D"/>
        <w:sz w:val="16"/>
        <w:szCs w:val="16"/>
        <w:lang w:eastAsia="ru-RU"/>
      </w:rPr>
      <w:t>Arch. Makariou III</w:t>
    </w:r>
    <w:r w:rsidR="00291E4F" w:rsidRPr="006F1841">
      <w:rPr>
        <w:rFonts w:ascii="Arial" w:hAnsi="Arial" w:cs="Arial"/>
        <w:noProof/>
        <w:color w:val="AF914D"/>
        <w:sz w:val="16"/>
        <w:szCs w:val="16"/>
        <w:lang w:eastAsia="ru-RU"/>
      </w:rPr>
      <w:t xml:space="preserve"> Avenue, 1</w:t>
    </w:r>
    <w:r w:rsidR="00291E4F" w:rsidRPr="006F1841">
      <w:rPr>
        <w:rFonts w:ascii="Arial" w:hAnsi="Arial" w:cs="Arial"/>
        <w:noProof/>
        <w:color w:val="AF914D"/>
        <w:sz w:val="16"/>
        <w:szCs w:val="16"/>
        <w:vertAlign w:val="superscript"/>
        <w:lang w:eastAsia="ru-RU"/>
      </w:rPr>
      <w:t>st</w:t>
    </w:r>
    <w:r w:rsidR="00291E4F" w:rsidRPr="006F1841">
      <w:rPr>
        <w:rFonts w:ascii="Arial" w:hAnsi="Arial" w:cs="Arial"/>
        <w:noProof/>
        <w:color w:val="AF914D"/>
        <w:sz w:val="16"/>
        <w:szCs w:val="16"/>
        <w:lang w:eastAsia="ru-RU"/>
      </w:rPr>
      <w:t xml:space="preserve"> floor</w:t>
    </w:r>
    <w:r w:rsidR="00FE5520" w:rsidRPr="006F1841">
      <w:rPr>
        <w:rFonts w:ascii="Arial" w:hAnsi="Arial" w:cs="Arial"/>
        <w:noProof/>
        <w:color w:val="AF914D"/>
        <w:sz w:val="16"/>
        <w:szCs w:val="16"/>
        <w:lang w:eastAsia="ru-RU"/>
      </w:rPr>
      <w:t>, 3030, Limassol, Cyprus</w:t>
    </w:r>
  </w:p>
  <w:p w14:paraId="5FF55D6A" w14:textId="77777777" w:rsidR="00224764" w:rsidRPr="006F1841" w:rsidRDefault="00291E4F" w:rsidP="00224764">
    <w:pPr>
      <w:pStyle w:val="Footer"/>
      <w:jc w:val="center"/>
      <w:rPr>
        <w:rFonts w:ascii="Arial" w:hAnsi="Arial" w:cs="Arial"/>
        <w:noProof/>
        <w:color w:val="AF914D"/>
        <w:sz w:val="16"/>
        <w:szCs w:val="16"/>
        <w:lang w:eastAsia="ru-RU"/>
      </w:rPr>
    </w:pPr>
    <w:r w:rsidRPr="006F1841">
      <w:rPr>
        <w:rFonts w:ascii="Arial" w:hAnsi="Arial" w:cs="Arial"/>
        <w:noProof/>
        <w:color w:val="AF914D"/>
        <w:sz w:val="16"/>
        <w:szCs w:val="16"/>
        <w:lang w:eastAsia="ru-RU"/>
      </w:rPr>
      <w:t>T: +357 25 212-293 ·</w:t>
    </w:r>
    <w:r w:rsidR="00224764" w:rsidRPr="006F1841">
      <w:rPr>
        <w:rFonts w:ascii="Arial" w:hAnsi="Arial" w:cs="Arial"/>
        <w:noProof/>
        <w:color w:val="AF914D"/>
        <w:sz w:val="16"/>
        <w:szCs w:val="16"/>
        <w:lang w:eastAsia="ru-RU"/>
      </w:rPr>
      <w:t xml:space="preserve"> F: +357 25 253-640</w:t>
    </w:r>
    <w:r w:rsidRPr="006F1841">
      <w:rPr>
        <w:rFonts w:ascii="Arial" w:hAnsi="Arial" w:cs="Arial"/>
        <w:noProof/>
        <w:color w:val="AF914D"/>
        <w:sz w:val="16"/>
        <w:szCs w:val="16"/>
        <w:lang w:eastAsia="ru-RU"/>
      </w:rPr>
      <w:t xml:space="preserve"> · Email: </w:t>
    </w:r>
    <w:hyperlink r:id="rId1" w:history="1">
      <w:r w:rsidRPr="006F1841">
        <w:rPr>
          <w:rStyle w:val="Hyperlink"/>
          <w:rFonts w:ascii="Arial" w:hAnsi="Arial" w:cs="Arial"/>
          <w:color w:val="AF914D"/>
          <w:sz w:val="16"/>
          <w:szCs w:val="16"/>
          <w:u w:val="none"/>
          <w:lang w:eastAsia="ru-RU"/>
        </w:rPr>
        <w:t>info@skanestas.com</w:t>
      </w:r>
    </w:hyperlink>
    <w:r w:rsidRPr="006F1841">
      <w:rPr>
        <w:rFonts w:ascii="Arial" w:hAnsi="Arial" w:cs="Arial"/>
        <w:noProof/>
        <w:color w:val="AF914D"/>
        <w:sz w:val="16"/>
        <w:szCs w:val="16"/>
        <w:lang w:eastAsia="ru-RU"/>
      </w:rPr>
      <w:t xml:space="preserve"> · Website: </w:t>
    </w:r>
    <w:hyperlink r:id="rId2" w:history="1">
      <w:r w:rsidR="00C6424F" w:rsidRPr="006F1841">
        <w:rPr>
          <w:rStyle w:val="Hyperlink"/>
          <w:rFonts w:ascii="Arial" w:hAnsi="Arial" w:cs="Arial"/>
          <w:noProof/>
          <w:color w:val="AF914D"/>
          <w:sz w:val="16"/>
          <w:szCs w:val="16"/>
          <w:lang w:eastAsia="ru-RU"/>
        </w:rPr>
        <w:t>www.skanestas.com</w:t>
      </w:r>
    </w:hyperlink>
  </w:p>
  <w:p w14:paraId="630D954E" w14:textId="77777777" w:rsidR="009A0E91" w:rsidRPr="006F1841" w:rsidRDefault="00C6424F" w:rsidP="009A0E91">
    <w:pPr>
      <w:pStyle w:val="Footer"/>
      <w:jc w:val="center"/>
      <w:rPr>
        <w:rFonts w:ascii="Arial" w:hAnsi="Arial" w:cs="Arial"/>
        <w:color w:val="AF914D"/>
        <w:sz w:val="16"/>
        <w:szCs w:val="16"/>
      </w:rPr>
    </w:pPr>
    <w:r w:rsidRPr="006F1841">
      <w:rPr>
        <w:rFonts w:ascii="Arial" w:hAnsi="Arial" w:cs="Arial"/>
        <w:color w:val="AF914D"/>
        <w:sz w:val="16"/>
        <w:szCs w:val="16"/>
      </w:rPr>
      <w:t>Regulated by CySEC, License No CIF 251/14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6AE6" w14:textId="77777777" w:rsidR="004F707D" w:rsidRDefault="004F707D" w:rsidP="00224764">
      <w:pPr>
        <w:spacing w:after="0" w:line="240" w:lineRule="auto"/>
      </w:pPr>
      <w:r>
        <w:separator/>
      </w:r>
    </w:p>
  </w:footnote>
  <w:footnote w:type="continuationSeparator" w:id="0">
    <w:p w14:paraId="790803F8" w14:textId="77777777" w:rsidR="004F707D" w:rsidRDefault="004F707D" w:rsidP="00224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0CB5" w14:textId="77777777" w:rsidR="003F1B5B" w:rsidRPr="006F1841" w:rsidRDefault="003F1B5B" w:rsidP="00666D88">
    <w:pPr>
      <w:ind w:right="480"/>
      <w:rPr>
        <w:rFonts w:cstheme="minorHAnsi"/>
        <w:color w:val="AF914D"/>
        <w:sz w:val="16"/>
        <w:szCs w:val="16"/>
      </w:rPr>
    </w:pPr>
    <w:r>
      <w:rPr>
        <w:b/>
        <w:noProof/>
        <w:lang w:val="ru-RU" w:eastAsia="ru-RU"/>
      </w:rPr>
      <w:drawing>
        <wp:anchor distT="0" distB="0" distL="114300" distR="114300" simplePos="0" relativeHeight="251659264" behindDoc="1" locked="1" layoutInCell="1" allowOverlap="1" wp14:anchorId="28781988" wp14:editId="0249F022">
          <wp:simplePos x="0" y="0"/>
          <wp:positionH relativeFrom="column">
            <wp:posOffset>-114300</wp:posOffset>
          </wp:positionH>
          <wp:positionV relativeFrom="page">
            <wp:posOffset>335915</wp:posOffset>
          </wp:positionV>
          <wp:extent cx="2040890" cy="568325"/>
          <wp:effectExtent l="0" t="0" r="0" b="3175"/>
          <wp:wrapTight wrapText="bothSides">
            <wp:wrapPolygon edited="0">
              <wp:start x="1815" y="0"/>
              <wp:lineTo x="0" y="2896"/>
              <wp:lineTo x="0" y="18101"/>
              <wp:lineTo x="1815" y="20997"/>
              <wp:lineTo x="4032" y="20997"/>
              <wp:lineTo x="10484" y="20997"/>
              <wp:lineTo x="21371" y="15204"/>
              <wp:lineTo x="21371" y="5792"/>
              <wp:lineTo x="4032" y="0"/>
              <wp:lineTo x="1815" y="0"/>
            </wp:wrapPolygon>
          </wp:wrapTight>
          <wp:docPr id="9" name="Рисунок 5" descr="Skanestas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kanestas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60288" behindDoc="0" locked="1" layoutInCell="1" allowOverlap="1" wp14:anchorId="77616F78" wp14:editId="78B837E9">
              <wp:simplePos x="0" y="0"/>
              <wp:positionH relativeFrom="margin">
                <wp:align>right</wp:align>
              </wp:positionH>
              <wp:positionV relativeFrom="page">
                <wp:posOffset>361315</wp:posOffset>
              </wp:positionV>
              <wp:extent cx="523875" cy="527685"/>
              <wp:effectExtent l="0" t="0" r="9525" b="5715"/>
              <wp:wrapNone/>
              <wp:docPr id="14" name="Фигура, имеющая форму буквы 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23875" cy="527685"/>
                      </a:xfrm>
                      <a:prstGeom prst="corner">
                        <a:avLst>
                          <a:gd name="adj1" fmla="val 24745"/>
                          <a:gd name="adj2" fmla="val 24683"/>
                        </a:avLst>
                      </a:prstGeom>
                      <a:solidFill>
                        <a:srgbClr val="E9DF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E29FA" id="Фигура, имеющая форму буквы L 14" o:spid="_x0000_s1026" style="position:absolute;margin-left:-9.95pt;margin-top:28.45pt;width:41.25pt;height:41.55pt;rotation:180;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coordsize="523875,527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" path="m,l129308,r,398052l523875,398052r,129633l,527685,,xe" fillcolor="#e9dfc6" stroked="f" strokeweight="1pt">
              <v:stroke joinstyle="miter"/>
              <v:path arrowok="t" o:connecttype="custom" o:connectlocs="0,0;129308,0;129308,398052;523875,398052;523875,527685;0,527685;0,0" o:connectangles="0,0,0,0,0,0,0"/>
              <w10:wrap anchorx="margin" anchory="page"/>
              <w10:anchorlock/>
            </v:shape>
          </w:pict>
        </mc:Fallback>
      </mc:AlternateContent>
    </w:r>
  </w:p>
  <w:p w14:paraId="70166A45" w14:textId="77777777" w:rsidR="004137E3" w:rsidRDefault="004137E3">
    <w:pPr>
      <w:pStyle w:val="Header"/>
      <w:rPr>
        <w:rFonts w:cstheme="minorHAnsi"/>
        <w:color w:val="AF914D"/>
        <w:sz w:val="16"/>
        <w:szCs w:val="16"/>
      </w:rPr>
    </w:pPr>
  </w:p>
  <w:p w14:paraId="26F7D633" w14:textId="77777777" w:rsidR="00E25627" w:rsidRPr="00E25627" w:rsidRDefault="00E25627" w:rsidP="00E25627">
    <w:pPr>
      <w:pStyle w:val="Header"/>
      <w:jc w:val="right"/>
      <w:rPr>
        <w:rFonts w:cstheme="minorHAnsi"/>
        <w:color w:val="AF914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08EA"/>
    <w:multiLevelType w:val="hybridMultilevel"/>
    <w:tmpl w:val="4B6E509A"/>
    <w:lvl w:ilvl="0" w:tplc="04090001">
      <w:start w:val="1"/>
      <w:numFmt w:val="bullet"/>
      <w:lvlText w:val=""/>
      <w:lvlJc w:val="left"/>
      <w:pPr>
        <w:tabs>
          <w:tab w:val="num" w:pos="1070"/>
        </w:tabs>
        <w:ind w:left="107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9A1A60"/>
    <w:multiLevelType w:val="hybridMultilevel"/>
    <w:tmpl w:val="FF40BD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D28B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77531F7"/>
    <w:multiLevelType w:val="hybridMultilevel"/>
    <w:tmpl w:val="3EA0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F5498"/>
    <w:multiLevelType w:val="hybridMultilevel"/>
    <w:tmpl w:val="28C8E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6161A9"/>
    <w:multiLevelType w:val="multilevel"/>
    <w:tmpl w:val="9D2C1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9165E9"/>
    <w:multiLevelType w:val="hybridMultilevel"/>
    <w:tmpl w:val="ABAED516"/>
    <w:lvl w:ilvl="0" w:tplc="5B9AB1EC">
      <w:start w:val="1"/>
      <w:numFmt w:val="decimal"/>
      <w:lvlText w:val="%1."/>
      <w:lvlJc w:val="left"/>
      <w:pPr>
        <w:ind w:left="982" w:hanging="454"/>
      </w:pPr>
      <w:rPr>
        <w:rFonts w:ascii="Times New Roman" w:eastAsia="Times New Roman" w:hAnsi="Times New Roman" w:cs="Times New Roman" w:hint="default"/>
        <w:w w:val="101"/>
        <w:sz w:val="28"/>
        <w:szCs w:val="28"/>
        <w:lang w:val="en-US" w:eastAsia="en-US" w:bidi="en-US"/>
      </w:rPr>
    </w:lvl>
    <w:lvl w:ilvl="1" w:tplc="3B8A71E6">
      <w:start w:val="1"/>
      <w:numFmt w:val="decimal"/>
      <w:lvlText w:val="%2."/>
      <w:lvlJc w:val="left"/>
      <w:pPr>
        <w:ind w:left="1030" w:hanging="360"/>
      </w:pPr>
      <w:rPr>
        <w:rFonts w:ascii="Arial" w:eastAsia="Arial" w:hAnsi="Arial" w:cs="Arial" w:hint="default"/>
        <w:spacing w:val="0"/>
        <w:w w:val="91"/>
        <w:sz w:val="28"/>
        <w:szCs w:val="28"/>
        <w:lang w:val="en-US" w:eastAsia="en-US" w:bidi="en-US"/>
      </w:rPr>
    </w:lvl>
    <w:lvl w:ilvl="2" w:tplc="E06C4A2C">
      <w:start w:val="1"/>
      <w:numFmt w:val="decimal"/>
      <w:lvlText w:val="%3."/>
      <w:lvlJc w:val="left"/>
      <w:pPr>
        <w:ind w:left="1249" w:hanging="360"/>
      </w:pPr>
      <w:rPr>
        <w:rFonts w:ascii="Arial" w:eastAsia="Arial" w:hAnsi="Arial" w:cs="Arial" w:hint="default"/>
        <w:spacing w:val="-1"/>
        <w:w w:val="91"/>
        <w:sz w:val="28"/>
        <w:szCs w:val="28"/>
        <w:lang w:val="en-US" w:eastAsia="en-US" w:bidi="en-US"/>
      </w:rPr>
    </w:lvl>
    <w:lvl w:ilvl="3" w:tplc="08090017">
      <w:start w:val="1"/>
      <w:numFmt w:val="lowerLetter"/>
      <w:lvlText w:val="%4)"/>
      <w:lvlJc w:val="left"/>
      <w:pPr>
        <w:ind w:left="1969" w:hanging="360"/>
      </w:pPr>
      <w:rPr>
        <w:rFonts w:hint="default"/>
        <w:spacing w:val="-1"/>
        <w:w w:val="87"/>
        <w:sz w:val="28"/>
        <w:szCs w:val="28"/>
        <w:lang w:val="en-US" w:eastAsia="en-US" w:bidi="en-US"/>
      </w:rPr>
    </w:lvl>
    <w:lvl w:ilvl="4" w:tplc="6232A506">
      <w:numFmt w:val="bullet"/>
      <w:lvlText w:val="•"/>
      <w:lvlJc w:val="left"/>
      <w:pPr>
        <w:ind w:left="3046" w:hanging="360"/>
      </w:pPr>
      <w:rPr>
        <w:rFonts w:hint="default"/>
        <w:lang w:val="en-US" w:eastAsia="en-US" w:bidi="en-US"/>
      </w:rPr>
    </w:lvl>
    <w:lvl w:ilvl="5" w:tplc="8998F34A">
      <w:numFmt w:val="bullet"/>
      <w:lvlText w:val="•"/>
      <w:lvlJc w:val="left"/>
      <w:pPr>
        <w:ind w:left="4133" w:hanging="360"/>
      </w:pPr>
      <w:rPr>
        <w:rFonts w:hint="default"/>
        <w:lang w:val="en-US" w:eastAsia="en-US" w:bidi="en-US"/>
      </w:rPr>
    </w:lvl>
    <w:lvl w:ilvl="6" w:tplc="E84642BA">
      <w:numFmt w:val="bullet"/>
      <w:lvlText w:val="•"/>
      <w:lvlJc w:val="left"/>
      <w:pPr>
        <w:ind w:left="5219" w:hanging="360"/>
      </w:pPr>
      <w:rPr>
        <w:rFonts w:hint="default"/>
        <w:lang w:val="en-US" w:eastAsia="en-US" w:bidi="en-US"/>
      </w:rPr>
    </w:lvl>
    <w:lvl w:ilvl="7" w:tplc="3F727E88">
      <w:numFmt w:val="bullet"/>
      <w:lvlText w:val="•"/>
      <w:lvlJc w:val="left"/>
      <w:pPr>
        <w:ind w:left="6306" w:hanging="360"/>
      </w:pPr>
      <w:rPr>
        <w:rFonts w:hint="default"/>
        <w:lang w:val="en-US" w:eastAsia="en-US" w:bidi="en-US"/>
      </w:rPr>
    </w:lvl>
    <w:lvl w:ilvl="8" w:tplc="C52E0C9A">
      <w:numFmt w:val="bullet"/>
      <w:lvlText w:val="•"/>
      <w:lvlJc w:val="left"/>
      <w:pPr>
        <w:ind w:left="7393" w:hanging="360"/>
      </w:pPr>
      <w:rPr>
        <w:rFonts w:hint="default"/>
        <w:lang w:val="en-US" w:eastAsia="en-US" w:bidi="en-US"/>
      </w:rPr>
    </w:lvl>
  </w:abstractNum>
  <w:abstractNum w:abstractNumId="8" w15:restartNumberingAfterBreak="0">
    <w:nsid w:val="14535F62"/>
    <w:multiLevelType w:val="singleLevel"/>
    <w:tmpl w:val="FFFFFFFF"/>
    <w:lvl w:ilvl="0">
      <w:numFmt w:val="decimal"/>
      <w:lvlText w:val="*"/>
      <w:lvlJc w:val="left"/>
    </w:lvl>
  </w:abstractNum>
  <w:abstractNum w:abstractNumId="9" w15:restartNumberingAfterBreak="0">
    <w:nsid w:val="1874567A"/>
    <w:multiLevelType w:val="hybridMultilevel"/>
    <w:tmpl w:val="CF78C248"/>
    <w:lvl w:ilvl="0" w:tplc="8FF66C64">
      <w:start w:val="4"/>
      <w:numFmt w:val="bullet"/>
      <w:lvlText w:val="-"/>
      <w:lvlJc w:val="left"/>
      <w:pPr>
        <w:ind w:left="644" w:hanging="360"/>
      </w:pPr>
      <w:rPr>
        <w:rFonts w:ascii="Cambria" w:eastAsiaTheme="minorHAnsi" w:hAnsi="Cambria"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1ABC633E"/>
    <w:multiLevelType w:val="hybridMultilevel"/>
    <w:tmpl w:val="32DC8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704E9"/>
    <w:multiLevelType w:val="hybridMultilevel"/>
    <w:tmpl w:val="64DA7EB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9045D4"/>
    <w:multiLevelType w:val="hybridMultilevel"/>
    <w:tmpl w:val="0C4AD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1382A78"/>
    <w:multiLevelType w:val="hybridMultilevel"/>
    <w:tmpl w:val="69124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C460A4"/>
    <w:multiLevelType w:val="hybridMultilevel"/>
    <w:tmpl w:val="827C5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5040C"/>
    <w:multiLevelType w:val="hybridMultilevel"/>
    <w:tmpl w:val="92CC1438"/>
    <w:lvl w:ilvl="0" w:tplc="637CE37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ED08F9"/>
    <w:multiLevelType w:val="hybridMultilevel"/>
    <w:tmpl w:val="CD04C640"/>
    <w:lvl w:ilvl="0" w:tplc="125E0EBE">
      <w:start w:val="1"/>
      <w:numFmt w:val="bullet"/>
      <w:lvlText w:val=""/>
      <w:lvlJc w:val="left"/>
      <w:pPr>
        <w:tabs>
          <w:tab w:val="num" w:pos="1800"/>
        </w:tabs>
        <w:ind w:left="1800" w:hanging="360"/>
      </w:pPr>
      <w:rPr>
        <w:rFonts w:ascii="Wingdings" w:hAnsi="Wingdings"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592B52"/>
    <w:multiLevelType w:val="hybridMultilevel"/>
    <w:tmpl w:val="40E4B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8B2C09"/>
    <w:multiLevelType w:val="hybridMultilevel"/>
    <w:tmpl w:val="6FCA3C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DE4DAA"/>
    <w:multiLevelType w:val="hybridMultilevel"/>
    <w:tmpl w:val="1E26EADA"/>
    <w:lvl w:ilvl="0" w:tplc="08090017">
      <w:start w:val="1"/>
      <w:numFmt w:val="lowerLetter"/>
      <w:lvlText w:val="%1)"/>
      <w:lvlJc w:val="left"/>
      <w:pPr>
        <w:ind w:left="720" w:hanging="360"/>
      </w:pPr>
    </w:lvl>
    <w:lvl w:ilvl="1" w:tplc="F6B65912">
      <w:start w:val="1"/>
      <w:numFmt w:val="lowerRoman"/>
      <w:lvlText w:val="%2."/>
      <w:lvlJc w:val="left"/>
      <w:pPr>
        <w:ind w:left="1800" w:hanging="720"/>
      </w:pPr>
      <w:rPr>
        <w:rFonts w:hint="default"/>
      </w:rPr>
    </w:lvl>
    <w:lvl w:ilvl="2" w:tplc="605C34D2">
      <w:start w:val="3"/>
      <w:numFmt w:val="bullet"/>
      <w:lvlText w:val="-"/>
      <w:lvlJc w:val="left"/>
      <w:pPr>
        <w:ind w:left="2340" w:hanging="360"/>
      </w:pPr>
      <w:rPr>
        <w:rFonts w:ascii="Cambria" w:eastAsiaTheme="minorHAnsi" w:hAnsi="Cambria"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490E7C"/>
    <w:multiLevelType w:val="hybridMultilevel"/>
    <w:tmpl w:val="D7AC9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3E4141"/>
    <w:multiLevelType w:val="hybridMultilevel"/>
    <w:tmpl w:val="52723086"/>
    <w:lvl w:ilvl="0" w:tplc="E338565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55769"/>
    <w:multiLevelType w:val="hybridMultilevel"/>
    <w:tmpl w:val="5E821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112E08"/>
    <w:multiLevelType w:val="hybridMultilevel"/>
    <w:tmpl w:val="4E7C6260"/>
    <w:lvl w:ilvl="0" w:tplc="5B9AB1EC">
      <w:start w:val="1"/>
      <w:numFmt w:val="decimal"/>
      <w:lvlText w:val="%1."/>
      <w:lvlJc w:val="left"/>
      <w:pPr>
        <w:ind w:left="982" w:hanging="454"/>
      </w:pPr>
      <w:rPr>
        <w:rFonts w:ascii="Times New Roman" w:eastAsia="Times New Roman" w:hAnsi="Times New Roman" w:cs="Times New Roman" w:hint="default"/>
        <w:w w:val="101"/>
        <w:sz w:val="28"/>
        <w:szCs w:val="28"/>
        <w:lang w:val="en-US" w:eastAsia="en-US" w:bidi="en-US"/>
      </w:rPr>
    </w:lvl>
    <w:lvl w:ilvl="1" w:tplc="3B8A71E6">
      <w:start w:val="1"/>
      <w:numFmt w:val="decimal"/>
      <w:lvlText w:val="%2."/>
      <w:lvlJc w:val="left"/>
      <w:pPr>
        <w:ind w:left="1030" w:hanging="360"/>
      </w:pPr>
      <w:rPr>
        <w:rFonts w:ascii="Arial" w:eastAsia="Arial" w:hAnsi="Arial" w:cs="Arial" w:hint="default"/>
        <w:spacing w:val="0"/>
        <w:w w:val="91"/>
        <w:sz w:val="28"/>
        <w:szCs w:val="28"/>
        <w:lang w:val="en-US" w:eastAsia="en-US" w:bidi="en-US"/>
      </w:rPr>
    </w:lvl>
    <w:lvl w:ilvl="2" w:tplc="E06C4A2C">
      <w:start w:val="1"/>
      <w:numFmt w:val="decimal"/>
      <w:lvlText w:val="%3."/>
      <w:lvlJc w:val="left"/>
      <w:pPr>
        <w:ind w:left="1249" w:hanging="360"/>
      </w:pPr>
      <w:rPr>
        <w:rFonts w:ascii="Arial" w:eastAsia="Arial" w:hAnsi="Arial" w:cs="Arial" w:hint="default"/>
        <w:spacing w:val="-1"/>
        <w:w w:val="91"/>
        <w:sz w:val="28"/>
        <w:szCs w:val="28"/>
        <w:lang w:val="en-US" w:eastAsia="en-US" w:bidi="en-US"/>
      </w:rPr>
    </w:lvl>
    <w:lvl w:ilvl="3" w:tplc="08090017">
      <w:start w:val="1"/>
      <w:numFmt w:val="lowerLetter"/>
      <w:lvlText w:val="%4)"/>
      <w:lvlJc w:val="left"/>
      <w:pPr>
        <w:ind w:left="1969" w:hanging="360"/>
      </w:pPr>
      <w:rPr>
        <w:rFonts w:hint="default"/>
        <w:spacing w:val="-1"/>
        <w:w w:val="87"/>
        <w:sz w:val="28"/>
        <w:szCs w:val="28"/>
        <w:lang w:val="en-US" w:eastAsia="en-US" w:bidi="en-US"/>
      </w:rPr>
    </w:lvl>
    <w:lvl w:ilvl="4" w:tplc="6232A506">
      <w:numFmt w:val="bullet"/>
      <w:lvlText w:val="•"/>
      <w:lvlJc w:val="left"/>
      <w:pPr>
        <w:ind w:left="3046" w:hanging="360"/>
      </w:pPr>
      <w:rPr>
        <w:rFonts w:hint="default"/>
        <w:lang w:val="en-US" w:eastAsia="en-US" w:bidi="en-US"/>
      </w:rPr>
    </w:lvl>
    <w:lvl w:ilvl="5" w:tplc="8998F34A">
      <w:numFmt w:val="bullet"/>
      <w:lvlText w:val="•"/>
      <w:lvlJc w:val="left"/>
      <w:pPr>
        <w:ind w:left="4133" w:hanging="360"/>
      </w:pPr>
      <w:rPr>
        <w:rFonts w:hint="default"/>
        <w:lang w:val="en-US" w:eastAsia="en-US" w:bidi="en-US"/>
      </w:rPr>
    </w:lvl>
    <w:lvl w:ilvl="6" w:tplc="E84642BA">
      <w:numFmt w:val="bullet"/>
      <w:lvlText w:val="•"/>
      <w:lvlJc w:val="left"/>
      <w:pPr>
        <w:ind w:left="5219" w:hanging="360"/>
      </w:pPr>
      <w:rPr>
        <w:rFonts w:hint="default"/>
        <w:lang w:val="en-US" w:eastAsia="en-US" w:bidi="en-US"/>
      </w:rPr>
    </w:lvl>
    <w:lvl w:ilvl="7" w:tplc="3F727E88">
      <w:numFmt w:val="bullet"/>
      <w:lvlText w:val="•"/>
      <w:lvlJc w:val="left"/>
      <w:pPr>
        <w:ind w:left="6306" w:hanging="360"/>
      </w:pPr>
      <w:rPr>
        <w:rFonts w:hint="default"/>
        <w:lang w:val="en-US" w:eastAsia="en-US" w:bidi="en-US"/>
      </w:rPr>
    </w:lvl>
    <w:lvl w:ilvl="8" w:tplc="C52E0C9A">
      <w:numFmt w:val="bullet"/>
      <w:lvlText w:val="•"/>
      <w:lvlJc w:val="left"/>
      <w:pPr>
        <w:ind w:left="7393" w:hanging="360"/>
      </w:pPr>
      <w:rPr>
        <w:rFonts w:hint="default"/>
        <w:lang w:val="en-US" w:eastAsia="en-US" w:bidi="en-US"/>
      </w:rPr>
    </w:lvl>
  </w:abstractNum>
  <w:abstractNum w:abstractNumId="24" w15:restartNumberingAfterBreak="0">
    <w:nsid w:val="562F0934"/>
    <w:multiLevelType w:val="hybridMultilevel"/>
    <w:tmpl w:val="678E1DD4"/>
    <w:lvl w:ilvl="0" w:tplc="08090001">
      <w:start w:val="1"/>
      <w:numFmt w:val="bullet"/>
      <w:lvlText w:val=""/>
      <w:lvlJc w:val="left"/>
      <w:pPr>
        <w:ind w:left="329" w:hanging="360"/>
      </w:pPr>
      <w:rPr>
        <w:rFonts w:ascii="Symbol" w:hAnsi="Symbol" w:hint="default"/>
      </w:rPr>
    </w:lvl>
    <w:lvl w:ilvl="1" w:tplc="08090003" w:tentative="1">
      <w:start w:val="1"/>
      <w:numFmt w:val="bullet"/>
      <w:lvlText w:val="o"/>
      <w:lvlJc w:val="left"/>
      <w:pPr>
        <w:ind w:left="1049" w:hanging="360"/>
      </w:pPr>
      <w:rPr>
        <w:rFonts w:ascii="Courier New" w:hAnsi="Courier New" w:cs="Courier New" w:hint="default"/>
      </w:rPr>
    </w:lvl>
    <w:lvl w:ilvl="2" w:tplc="08090005" w:tentative="1">
      <w:start w:val="1"/>
      <w:numFmt w:val="bullet"/>
      <w:lvlText w:val=""/>
      <w:lvlJc w:val="left"/>
      <w:pPr>
        <w:ind w:left="1769" w:hanging="360"/>
      </w:pPr>
      <w:rPr>
        <w:rFonts w:ascii="Wingdings" w:hAnsi="Wingdings" w:hint="default"/>
      </w:rPr>
    </w:lvl>
    <w:lvl w:ilvl="3" w:tplc="08090001" w:tentative="1">
      <w:start w:val="1"/>
      <w:numFmt w:val="bullet"/>
      <w:lvlText w:val=""/>
      <w:lvlJc w:val="left"/>
      <w:pPr>
        <w:ind w:left="2489" w:hanging="360"/>
      </w:pPr>
      <w:rPr>
        <w:rFonts w:ascii="Symbol" w:hAnsi="Symbol" w:hint="default"/>
      </w:rPr>
    </w:lvl>
    <w:lvl w:ilvl="4" w:tplc="08090003" w:tentative="1">
      <w:start w:val="1"/>
      <w:numFmt w:val="bullet"/>
      <w:lvlText w:val="o"/>
      <w:lvlJc w:val="left"/>
      <w:pPr>
        <w:ind w:left="3209" w:hanging="360"/>
      </w:pPr>
      <w:rPr>
        <w:rFonts w:ascii="Courier New" w:hAnsi="Courier New" w:cs="Courier New" w:hint="default"/>
      </w:rPr>
    </w:lvl>
    <w:lvl w:ilvl="5" w:tplc="08090005" w:tentative="1">
      <w:start w:val="1"/>
      <w:numFmt w:val="bullet"/>
      <w:lvlText w:val=""/>
      <w:lvlJc w:val="left"/>
      <w:pPr>
        <w:ind w:left="3929" w:hanging="360"/>
      </w:pPr>
      <w:rPr>
        <w:rFonts w:ascii="Wingdings" w:hAnsi="Wingdings" w:hint="default"/>
      </w:rPr>
    </w:lvl>
    <w:lvl w:ilvl="6" w:tplc="08090001" w:tentative="1">
      <w:start w:val="1"/>
      <w:numFmt w:val="bullet"/>
      <w:lvlText w:val=""/>
      <w:lvlJc w:val="left"/>
      <w:pPr>
        <w:ind w:left="4649" w:hanging="360"/>
      </w:pPr>
      <w:rPr>
        <w:rFonts w:ascii="Symbol" w:hAnsi="Symbol" w:hint="default"/>
      </w:rPr>
    </w:lvl>
    <w:lvl w:ilvl="7" w:tplc="08090003" w:tentative="1">
      <w:start w:val="1"/>
      <w:numFmt w:val="bullet"/>
      <w:lvlText w:val="o"/>
      <w:lvlJc w:val="left"/>
      <w:pPr>
        <w:ind w:left="5369" w:hanging="360"/>
      </w:pPr>
      <w:rPr>
        <w:rFonts w:ascii="Courier New" w:hAnsi="Courier New" w:cs="Courier New" w:hint="default"/>
      </w:rPr>
    </w:lvl>
    <w:lvl w:ilvl="8" w:tplc="08090005" w:tentative="1">
      <w:start w:val="1"/>
      <w:numFmt w:val="bullet"/>
      <w:lvlText w:val=""/>
      <w:lvlJc w:val="left"/>
      <w:pPr>
        <w:ind w:left="6089" w:hanging="360"/>
      </w:pPr>
      <w:rPr>
        <w:rFonts w:ascii="Wingdings" w:hAnsi="Wingdings" w:hint="default"/>
      </w:rPr>
    </w:lvl>
  </w:abstractNum>
  <w:abstractNum w:abstractNumId="25" w15:restartNumberingAfterBreak="0">
    <w:nsid w:val="59A729B3"/>
    <w:multiLevelType w:val="multilevel"/>
    <w:tmpl w:val="1EF025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62C56E5A"/>
    <w:multiLevelType w:val="singleLevel"/>
    <w:tmpl w:val="FFFFFFFF"/>
    <w:lvl w:ilvl="0">
      <w:numFmt w:val="decimal"/>
      <w:lvlText w:val="*"/>
      <w:lvlJc w:val="left"/>
    </w:lvl>
  </w:abstractNum>
  <w:abstractNum w:abstractNumId="27" w15:restartNumberingAfterBreak="0">
    <w:nsid w:val="66CB4063"/>
    <w:multiLevelType w:val="hybridMultilevel"/>
    <w:tmpl w:val="64DA7EB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BC24C64"/>
    <w:multiLevelType w:val="hybridMultilevel"/>
    <w:tmpl w:val="96ACD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39138A"/>
    <w:multiLevelType w:val="hybridMultilevel"/>
    <w:tmpl w:val="96ACD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925DA3"/>
    <w:multiLevelType w:val="hybridMultilevel"/>
    <w:tmpl w:val="F510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D72DD3"/>
    <w:multiLevelType w:val="singleLevel"/>
    <w:tmpl w:val="FFFFFFFF"/>
    <w:lvl w:ilvl="0">
      <w:numFmt w:val="decimal"/>
      <w:lvlText w:val="*"/>
      <w:lvlJc w:val="left"/>
    </w:lvl>
  </w:abstractNum>
  <w:abstractNum w:abstractNumId="32" w15:restartNumberingAfterBreak="0">
    <w:nsid w:val="79323ECD"/>
    <w:multiLevelType w:val="hybridMultilevel"/>
    <w:tmpl w:val="DA544F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29"/>
  </w:num>
  <w:num w:numId="3">
    <w:abstractNumId w:val="22"/>
  </w:num>
  <w:num w:numId="4">
    <w:abstractNumId w:val="10"/>
  </w:num>
  <w:num w:numId="5">
    <w:abstractNumId w:val="24"/>
  </w:num>
  <w:num w:numId="6">
    <w:abstractNumId w:val="20"/>
  </w:num>
  <w:num w:numId="7">
    <w:abstractNumId w:val="15"/>
  </w:num>
  <w:num w:numId="8">
    <w:abstractNumId w:val="3"/>
  </w:num>
  <w:num w:numId="9">
    <w:abstractNumId w:val="19"/>
  </w:num>
  <w:num w:numId="10">
    <w:abstractNumId w:val="2"/>
  </w:num>
  <w:num w:numId="11">
    <w:abstractNumId w:val="30"/>
  </w:num>
  <w:num w:numId="12">
    <w:abstractNumId w:val="27"/>
  </w:num>
  <w:num w:numId="13">
    <w:abstractNumId w:val="14"/>
  </w:num>
  <w:num w:numId="14">
    <w:abstractNumId w:val="32"/>
  </w:num>
  <w:num w:numId="15">
    <w:abstractNumId w:val="4"/>
  </w:num>
  <w:num w:numId="16">
    <w:abstractNumId w:val="11"/>
  </w:num>
  <w:num w:numId="17">
    <w:abstractNumId w:val="25"/>
  </w:num>
  <w:num w:numId="18">
    <w:abstractNumId w:val="21"/>
  </w:num>
  <w:num w:numId="19">
    <w:abstractNumId w:val="5"/>
  </w:num>
  <w:num w:numId="20">
    <w:abstractNumId w:val="6"/>
  </w:num>
  <w:num w:numId="21">
    <w:abstractNumId w:val="1"/>
  </w:num>
  <w:num w:numId="22">
    <w:abstractNumId w:val="17"/>
  </w:num>
  <w:num w:numId="23">
    <w:abstractNumId w:val="16"/>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8"/>
  </w:num>
  <w:num w:numId="26">
    <w:abstractNumId w:val="13"/>
  </w:num>
  <w:num w:numId="2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1"/>
  </w:num>
  <w:num w:numId="30">
    <w:abstractNumId w:val="26"/>
  </w:num>
  <w:num w:numId="31">
    <w:abstractNumId w:val="9"/>
  </w:num>
  <w:num w:numId="32">
    <w:abstractNumId w:val="2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D4"/>
    <w:rsid w:val="0000249A"/>
    <w:rsid w:val="00011067"/>
    <w:rsid w:val="00012395"/>
    <w:rsid w:val="000147A5"/>
    <w:rsid w:val="00020611"/>
    <w:rsid w:val="00027CEA"/>
    <w:rsid w:val="00041B0A"/>
    <w:rsid w:val="000444F6"/>
    <w:rsid w:val="00047F3E"/>
    <w:rsid w:val="00064DE6"/>
    <w:rsid w:val="000658FD"/>
    <w:rsid w:val="000665C3"/>
    <w:rsid w:val="00070EE8"/>
    <w:rsid w:val="00073745"/>
    <w:rsid w:val="000928A9"/>
    <w:rsid w:val="00094C4A"/>
    <w:rsid w:val="000A2A6B"/>
    <w:rsid w:val="000A6C0D"/>
    <w:rsid w:val="000B6C80"/>
    <w:rsid w:val="000D2075"/>
    <w:rsid w:val="000D65C4"/>
    <w:rsid w:val="000E2B5F"/>
    <w:rsid w:val="00101775"/>
    <w:rsid w:val="001027B7"/>
    <w:rsid w:val="00117797"/>
    <w:rsid w:val="00125BFB"/>
    <w:rsid w:val="001314F6"/>
    <w:rsid w:val="00131888"/>
    <w:rsid w:val="00134FC1"/>
    <w:rsid w:val="00156229"/>
    <w:rsid w:val="00157863"/>
    <w:rsid w:val="00166C9C"/>
    <w:rsid w:val="0016746A"/>
    <w:rsid w:val="00176335"/>
    <w:rsid w:val="00184876"/>
    <w:rsid w:val="00186EAE"/>
    <w:rsid w:val="00190FEE"/>
    <w:rsid w:val="001936DC"/>
    <w:rsid w:val="001A04FB"/>
    <w:rsid w:val="001A1108"/>
    <w:rsid w:val="001A19FA"/>
    <w:rsid w:val="001A4D05"/>
    <w:rsid w:val="001B533F"/>
    <w:rsid w:val="001C0A1F"/>
    <w:rsid w:val="001D052A"/>
    <w:rsid w:val="001D2649"/>
    <w:rsid w:val="001E4E29"/>
    <w:rsid w:val="001E7D13"/>
    <w:rsid w:val="0020067C"/>
    <w:rsid w:val="00201049"/>
    <w:rsid w:val="00211322"/>
    <w:rsid w:val="00214A08"/>
    <w:rsid w:val="002223B1"/>
    <w:rsid w:val="00222499"/>
    <w:rsid w:val="00222DE8"/>
    <w:rsid w:val="00224764"/>
    <w:rsid w:val="00225AED"/>
    <w:rsid w:val="00225FCE"/>
    <w:rsid w:val="00240622"/>
    <w:rsid w:val="00240900"/>
    <w:rsid w:val="002412AA"/>
    <w:rsid w:val="002447A6"/>
    <w:rsid w:val="00247E89"/>
    <w:rsid w:val="00254182"/>
    <w:rsid w:val="00260DEA"/>
    <w:rsid w:val="0026351F"/>
    <w:rsid w:val="00270C6F"/>
    <w:rsid w:val="002749B6"/>
    <w:rsid w:val="00274D5A"/>
    <w:rsid w:val="00282ACD"/>
    <w:rsid w:val="0028417B"/>
    <w:rsid w:val="00291E4F"/>
    <w:rsid w:val="00292980"/>
    <w:rsid w:val="002B6701"/>
    <w:rsid w:val="002C4ED5"/>
    <w:rsid w:val="002D2435"/>
    <w:rsid w:val="002D3384"/>
    <w:rsid w:val="002E20CD"/>
    <w:rsid w:val="002F0B26"/>
    <w:rsid w:val="002F111E"/>
    <w:rsid w:val="002F461B"/>
    <w:rsid w:val="002F5DF0"/>
    <w:rsid w:val="0030057B"/>
    <w:rsid w:val="00301E0D"/>
    <w:rsid w:val="003051BF"/>
    <w:rsid w:val="00307399"/>
    <w:rsid w:val="00313348"/>
    <w:rsid w:val="00313F88"/>
    <w:rsid w:val="00316176"/>
    <w:rsid w:val="00341EBA"/>
    <w:rsid w:val="00342800"/>
    <w:rsid w:val="003437F7"/>
    <w:rsid w:val="00361C89"/>
    <w:rsid w:val="00362BB3"/>
    <w:rsid w:val="00371938"/>
    <w:rsid w:val="00381CA0"/>
    <w:rsid w:val="00392D30"/>
    <w:rsid w:val="003A0AEA"/>
    <w:rsid w:val="003A7CA7"/>
    <w:rsid w:val="003B2E05"/>
    <w:rsid w:val="003B4947"/>
    <w:rsid w:val="003C2C62"/>
    <w:rsid w:val="003C7EAD"/>
    <w:rsid w:val="003D13EE"/>
    <w:rsid w:val="003D22DF"/>
    <w:rsid w:val="003D2341"/>
    <w:rsid w:val="003E27C4"/>
    <w:rsid w:val="003E74A3"/>
    <w:rsid w:val="003E7C6D"/>
    <w:rsid w:val="003F1B5B"/>
    <w:rsid w:val="003F61C5"/>
    <w:rsid w:val="00406B4E"/>
    <w:rsid w:val="0041021C"/>
    <w:rsid w:val="004137E3"/>
    <w:rsid w:val="00417D78"/>
    <w:rsid w:val="00420A26"/>
    <w:rsid w:val="00421D8F"/>
    <w:rsid w:val="004235F2"/>
    <w:rsid w:val="00432DA7"/>
    <w:rsid w:val="00436D39"/>
    <w:rsid w:val="00452F58"/>
    <w:rsid w:val="00455C33"/>
    <w:rsid w:val="00456970"/>
    <w:rsid w:val="00461FDB"/>
    <w:rsid w:val="00466BCB"/>
    <w:rsid w:val="004725AC"/>
    <w:rsid w:val="00476D64"/>
    <w:rsid w:val="00481802"/>
    <w:rsid w:val="00490AC5"/>
    <w:rsid w:val="004A0D94"/>
    <w:rsid w:val="004A53AF"/>
    <w:rsid w:val="004C45E7"/>
    <w:rsid w:val="004C6C20"/>
    <w:rsid w:val="004D24D4"/>
    <w:rsid w:val="004D25F5"/>
    <w:rsid w:val="004D5494"/>
    <w:rsid w:val="004E4B9D"/>
    <w:rsid w:val="004E4DE6"/>
    <w:rsid w:val="004F707D"/>
    <w:rsid w:val="0050437B"/>
    <w:rsid w:val="00504F1A"/>
    <w:rsid w:val="0051084B"/>
    <w:rsid w:val="00512308"/>
    <w:rsid w:val="00524735"/>
    <w:rsid w:val="00544FD6"/>
    <w:rsid w:val="00567641"/>
    <w:rsid w:val="00582158"/>
    <w:rsid w:val="00584AE0"/>
    <w:rsid w:val="00585FCD"/>
    <w:rsid w:val="00587DEE"/>
    <w:rsid w:val="00590489"/>
    <w:rsid w:val="00592569"/>
    <w:rsid w:val="005935C5"/>
    <w:rsid w:val="00593F2D"/>
    <w:rsid w:val="0059784F"/>
    <w:rsid w:val="005A1EBD"/>
    <w:rsid w:val="005A42F2"/>
    <w:rsid w:val="005B073A"/>
    <w:rsid w:val="005D0EBE"/>
    <w:rsid w:val="005D2169"/>
    <w:rsid w:val="005D3AB0"/>
    <w:rsid w:val="005E1BCD"/>
    <w:rsid w:val="005F0A82"/>
    <w:rsid w:val="006010F7"/>
    <w:rsid w:val="00601F1A"/>
    <w:rsid w:val="0060296C"/>
    <w:rsid w:val="00602F60"/>
    <w:rsid w:val="00606546"/>
    <w:rsid w:val="00611BE0"/>
    <w:rsid w:val="0061217B"/>
    <w:rsid w:val="006123CE"/>
    <w:rsid w:val="00612950"/>
    <w:rsid w:val="00621526"/>
    <w:rsid w:val="00635BAD"/>
    <w:rsid w:val="00642B30"/>
    <w:rsid w:val="00643595"/>
    <w:rsid w:val="00644F87"/>
    <w:rsid w:val="00647F1C"/>
    <w:rsid w:val="006603FE"/>
    <w:rsid w:val="00666D88"/>
    <w:rsid w:val="00667FCF"/>
    <w:rsid w:val="00670BF1"/>
    <w:rsid w:val="00685649"/>
    <w:rsid w:val="00686D59"/>
    <w:rsid w:val="006A1A6E"/>
    <w:rsid w:val="006A24F8"/>
    <w:rsid w:val="006A30D0"/>
    <w:rsid w:val="006A4BE4"/>
    <w:rsid w:val="006B4614"/>
    <w:rsid w:val="006B47FC"/>
    <w:rsid w:val="006C1F45"/>
    <w:rsid w:val="006C5E21"/>
    <w:rsid w:val="006C5FA3"/>
    <w:rsid w:val="006C64D2"/>
    <w:rsid w:val="006C663D"/>
    <w:rsid w:val="006C741C"/>
    <w:rsid w:val="006D5CFE"/>
    <w:rsid w:val="006E19FF"/>
    <w:rsid w:val="006F0369"/>
    <w:rsid w:val="006F1841"/>
    <w:rsid w:val="006F31E8"/>
    <w:rsid w:val="006F78A0"/>
    <w:rsid w:val="00702CBB"/>
    <w:rsid w:val="00707B40"/>
    <w:rsid w:val="00710DCD"/>
    <w:rsid w:val="00721C29"/>
    <w:rsid w:val="00730030"/>
    <w:rsid w:val="007444B0"/>
    <w:rsid w:val="00744C5D"/>
    <w:rsid w:val="00750FBE"/>
    <w:rsid w:val="00754024"/>
    <w:rsid w:val="007606D6"/>
    <w:rsid w:val="0076331D"/>
    <w:rsid w:val="00764C0F"/>
    <w:rsid w:val="00766491"/>
    <w:rsid w:val="007909CE"/>
    <w:rsid w:val="00791388"/>
    <w:rsid w:val="007B1D19"/>
    <w:rsid w:val="007B424A"/>
    <w:rsid w:val="007B7536"/>
    <w:rsid w:val="007B7B98"/>
    <w:rsid w:val="007C1A9D"/>
    <w:rsid w:val="007C77E2"/>
    <w:rsid w:val="007F0855"/>
    <w:rsid w:val="007F0C54"/>
    <w:rsid w:val="00831DFD"/>
    <w:rsid w:val="0083732A"/>
    <w:rsid w:val="008500A8"/>
    <w:rsid w:val="008522C1"/>
    <w:rsid w:val="008544F8"/>
    <w:rsid w:val="00864AB0"/>
    <w:rsid w:val="00892983"/>
    <w:rsid w:val="00897B8E"/>
    <w:rsid w:val="008A72AE"/>
    <w:rsid w:val="008B3968"/>
    <w:rsid w:val="008B3A35"/>
    <w:rsid w:val="008B5F75"/>
    <w:rsid w:val="008B7A14"/>
    <w:rsid w:val="008C0031"/>
    <w:rsid w:val="008C5903"/>
    <w:rsid w:val="008C795B"/>
    <w:rsid w:val="008D1A02"/>
    <w:rsid w:val="008D255E"/>
    <w:rsid w:val="008D42AE"/>
    <w:rsid w:val="008E2BF9"/>
    <w:rsid w:val="008E377D"/>
    <w:rsid w:val="008E7B89"/>
    <w:rsid w:val="008F2721"/>
    <w:rsid w:val="008F7B2F"/>
    <w:rsid w:val="009064D9"/>
    <w:rsid w:val="00907D21"/>
    <w:rsid w:val="0091725C"/>
    <w:rsid w:val="00920070"/>
    <w:rsid w:val="00924268"/>
    <w:rsid w:val="00924930"/>
    <w:rsid w:val="0093170A"/>
    <w:rsid w:val="009361C4"/>
    <w:rsid w:val="00941850"/>
    <w:rsid w:val="00956017"/>
    <w:rsid w:val="00957B68"/>
    <w:rsid w:val="00970876"/>
    <w:rsid w:val="00992EBB"/>
    <w:rsid w:val="00994C5B"/>
    <w:rsid w:val="009952F8"/>
    <w:rsid w:val="00997803"/>
    <w:rsid w:val="009A032F"/>
    <w:rsid w:val="009A0E91"/>
    <w:rsid w:val="009A47AF"/>
    <w:rsid w:val="009A6A02"/>
    <w:rsid w:val="009B0141"/>
    <w:rsid w:val="009B0867"/>
    <w:rsid w:val="009C0720"/>
    <w:rsid w:val="009E2D1C"/>
    <w:rsid w:val="009F0070"/>
    <w:rsid w:val="009F5266"/>
    <w:rsid w:val="009F7598"/>
    <w:rsid w:val="009F7B75"/>
    <w:rsid w:val="00A020BF"/>
    <w:rsid w:val="00A028FC"/>
    <w:rsid w:val="00A1033D"/>
    <w:rsid w:val="00A114E4"/>
    <w:rsid w:val="00A11DB7"/>
    <w:rsid w:val="00A12D14"/>
    <w:rsid w:val="00A14FB4"/>
    <w:rsid w:val="00A15A0B"/>
    <w:rsid w:val="00A26C4F"/>
    <w:rsid w:val="00A30760"/>
    <w:rsid w:val="00A34AAC"/>
    <w:rsid w:val="00A42DAB"/>
    <w:rsid w:val="00A43A69"/>
    <w:rsid w:val="00A50799"/>
    <w:rsid w:val="00A63395"/>
    <w:rsid w:val="00A63F34"/>
    <w:rsid w:val="00A658FE"/>
    <w:rsid w:val="00A72866"/>
    <w:rsid w:val="00A777FC"/>
    <w:rsid w:val="00A80E3B"/>
    <w:rsid w:val="00A94E3B"/>
    <w:rsid w:val="00A97835"/>
    <w:rsid w:val="00AC11CD"/>
    <w:rsid w:val="00AD1B44"/>
    <w:rsid w:val="00AD37A8"/>
    <w:rsid w:val="00AE6B3C"/>
    <w:rsid w:val="00B02879"/>
    <w:rsid w:val="00B06D93"/>
    <w:rsid w:val="00B110D0"/>
    <w:rsid w:val="00B1406C"/>
    <w:rsid w:val="00B16FC5"/>
    <w:rsid w:val="00B2172B"/>
    <w:rsid w:val="00B24800"/>
    <w:rsid w:val="00B406F7"/>
    <w:rsid w:val="00B464D6"/>
    <w:rsid w:val="00B5179A"/>
    <w:rsid w:val="00B60AA1"/>
    <w:rsid w:val="00B66211"/>
    <w:rsid w:val="00B70312"/>
    <w:rsid w:val="00B91319"/>
    <w:rsid w:val="00B97135"/>
    <w:rsid w:val="00BA3E71"/>
    <w:rsid w:val="00BA690B"/>
    <w:rsid w:val="00BB4DD4"/>
    <w:rsid w:val="00BB7763"/>
    <w:rsid w:val="00BC4512"/>
    <w:rsid w:val="00BC5E48"/>
    <w:rsid w:val="00BD0D6A"/>
    <w:rsid w:val="00BD4D70"/>
    <w:rsid w:val="00BE1F00"/>
    <w:rsid w:val="00BE2FCB"/>
    <w:rsid w:val="00C11EA6"/>
    <w:rsid w:val="00C146C6"/>
    <w:rsid w:val="00C24D7E"/>
    <w:rsid w:val="00C31AA0"/>
    <w:rsid w:val="00C351C4"/>
    <w:rsid w:val="00C372F0"/>
    <w:rsid w:val="00C41D6E"/>
    <w:rsid w:val="00C458BA"/>
    <w:rsid w:val="00C50617"/>
    <w:rsid w:val="00C6135B"/>
    <w:rsid w:val="00C6424F"/>
    <w:rsid w:val="00C760DF"/>
    <w:rsid w:val="00C7725B"/>
    <w:rsid w:val="00C800F6"/>
    <w:rsid w:val="00C91FB2"/>
    <w:rsid w:val="00C95961"/>
    <w:rsid w:val="00C96002"/>
    <w:rsid w:val="00C963BC"/>
    <w:rsid w:val="00C9718B"/>
    <w:rsid w:val="00CA059F"/>
    <w:rsid w:val="00CA16D9"/>
    <w:rsid w:val="00CB3EFD"/>
    <w:rsid w:val="00CB697F"/>
    <w:rsid w:val="00CC281F"/>
    <w:rsid w:val="00CC7D81"/>
    <w:rsid w:val="00CD4EEF"/>
    <w:rsid w:val="00CD7D0F"/>
    <w:rsid w:val="00CE4E8A"/>
    <w:rsid w:val="00CF1AA1"/>
    <w:rsid w:val="00D028A7"/>
    <w:rsid w:val="00D0382A"/>
    <w:rsid w:val="00D11C0F"/>
    <w:rsid w:val="00D26728"/>
    <w:rsid w:val="00D3764B"/>
    <w:rsid w:val="00D40327"/>
    <w:rsid w:val="00D441A9"/>
    <w:rsid w:val="00D50FFC"/>
    <w:rsid w:val="00D61718"/>
    <w:rsid w:val="00D65218"/>
    <w:rsid w:val="00D6611B"/>
    <w:rsid w:val="00D903DB"/>
    <w:rsid w:val="00D96081"/>
    <w:rsid w:val="00D9698B"/>
    <w:rsid w:val="00DA25C3"/>
    <w:rsid w:val="00DC3D9F"/>
    <w:rsid w:val="00DD1C51"/>
    <w:rsid w:val="00DD5E98"/>
    <w:rsid w:val="00DE03DF"/>
    <w:rsid w:val="00DE14B7"/>
    <w:rsid w:val="00DE3E0F"/>
    <w:rsid w:val="00DE40B8"/>
    <w:rsid w:val="00DE6874"/>
    <w:rsid w:val="00E0015E"/>
    <w:rsid w:val="00E01BBE"/>
    <w:rsid w:val="00E0404E"/>
    <w:rsid w:val="00E07099"/>
    <w:rsid w:val="00E07100"/>
    <w:rsid w:val="00E1062B"/>
    <w:rsid w:val="00E16CDB"/>
    <w:rsid w:val="00E17D93"/>
    <w:rsid w:val="00E25627"/>
    <w:rsid w:val="00E27E91"/>
    <w:rsid w:val="00E31CC1"/>
    <w:rsid w:val="00E36A61"/>
    <w:rsid w:val="00E4424A"/>
    <w:rsid w:val="00E54642"/>
    <w:rsid w:val="00E6666E"/>
    <w:rsid w:val="00E7382F"/>
    <w:rsid w:val="00E74F19"/>
    <w:rsid w:val="00E91773"/>
    <w:rsid w:val="00E921E3"/>
    <w:rsid w:val="00E9706E"/>
    <w:rsid w:val="00EB21F8"/>
    <w:rsid w:val="00EB6A1E"/>
    <w:rsid w:val="00EB7990"/>
    <w:rsid w:val="00ED2DDD"/>
    <w:rsid w:val="00ED65A9"/>
    <w:rsid w:val="00ED6C43"/>
    <w:rsid w:val="00EE1A58"/>
    <w:rsid w:val="00EE5347"/>
    <w:rsid w:val="00EF11CB"/>
    <w:rsid w:val="00EF50A1"/>
    <w:rsid w:val="00EF5EBA"/>
    <w:rsid w:val="00F04804"/>
    <w:rsid w:val="00F1121B"/>
    <w:rsid w:val="00F21748"/>
    <w:rsid w:val="00F218A0"/>
    <w:rsid w:val="00F22846"/>
    <w:rsid w:val="00F2301A"/>
    <w:rsid w:val="00F2427D"/>
    <w:rsid w:val="00F25894"/>
    <w:rsid w:val="00F27BFB"/>
    <w:rsid w:val="00F4683B"/>
    <w:rsid w:val="00F503C2"/>
    <w:rsid w:val="00F57214"/>
    <w:rsid w:val="00F678C0"/>
    <w:rsid w:val="00F80A57"/>
    <w:rsid w:val="00F846F7"/>
    <w:rsid w:val="00F86CBF"/>
    <w:rsid w:val="00F90F7D"/>
    <w:rsid w:val="00F942D8"/>
    <w:rsid w:val="00F973EF"/>
    <w:rsid w:val="00FC6703"/>
    <w:rsid w:val="00FD5D95"/>
    <w:rsid w:val="00FE5520"/>
    <w:rsid w:val="00FE65A3"/>
    <w:rsid w:val="00FE7F44"/>
    <w:rsid w:val="00FF1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0AC28"/>
  <w15:chartTrackingRefBased/>
  <w15:docId w15:val="{220BB571-9692-4818-9A6C-7270916D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CD"/>
    <w:pPr>
      <w:spacing w:after="200" w:line="276" w:lineRule="auto"/>
    </w:pPr>
    <w:rPr>
      <w:lang w:val="en-US"/>
    </w:rPr>
  </w:style>
  <w:style w:type="paragraph" w:styleId="Heading1">
    <w:name w:val="heading 1"/>
    <w:basedOn w:val="ListParagraph"/>
    <w:next w:val="Normal"/>
    <w:link w:val="Heading1Char"/>
    <w:qFormat/>
    <w:rsid w:val="00EF11CB"/>
    <w:pPr>
      <w:numPr>
        <w:numId w:val="8"/>
      </w:numPr>
      <w:autoSpaceDE/>
      <w:autoSpaceDN/>
      <w:spacing w:line="360" w:lineRule="auto"/>
      <w:jc w:val="both"/>
      <w:outlineLvl w:val="0"/>
    </w:pPr>
    <w:rPr>
      <w:rFonts w:eastAsiaTheme="minorHAnsi"/>
      <w:b/>
      <w:sz w:val="24"/>
      <w:szCs w:val="22"/>
      <w:lang w:val="en-GB" w:eastAsia="en-US"/>
    </w:rPr>
  </w:style>
  <w:style w:type="paragraph" w:styleId="Heading2">
    <w:name w:val="heading 2"/>
    <w:basedOn w:val="Normal"/>
    <w:next w:val="Normal"/>
    <w:link w:val="Heading2Char"/>
    <w:qFormat/>
    <w:rsid w:val="00EF11CB"/>
    <w:pPr>
      <w:numPr>
        <w:ilvl w:val="1"/>
        <w:numId w:val="8"/>
      </w:numPr>
      <w:spacing w:after="0" w:line="360" w:lineRule="auto"/>
      <w:jc w:val="both"/>
      <w:outlineLvl w:val="1"/>
    </w:pPr>
    <w:rPr>
      <w:rFonts w:ascii="Times New Roman" w:hAnsi="Times New Roman" w:cs="Times New Roman"/>
      <w:sz w:val="24"/>
      <w:u w:val="single"/>
      <w:lang w:val="en-GB"/>
    </w:rPr>
  </w:style>
  <w:style w:type="paragraph" w:styleId="Heading3">
    <w:name w:val="heading 3"/>
    <w:basedOn w:val="Heading2"/>
    <w:next w:val="BodyText"/>
    <w:link w:val="Heading3Char"/>
    <w:qFormat/>
    <w:rsid w:val="00EF11CB"/>
    <w:pPr>
      <w:keepLines/>
      <w:numPr>
        <w:ilvl w:val="2"/>
      </w:numPr>
      <w:tabs>
        <w:tab w:val="left" w:pos="1134"/>
      </w:tabs>
      <w:spacing w:before="120" w:after="120"/>
      <w:outlineLvl w:val="2"/>
    </w:pPr>
    <w:rPr>
      <w:b/>
      <w:i/>
      <w:kern w:val="28"/>
      <w:sz w:val="28"/>
    </w:rPr>
  </w:style>
  <w:style w:type="paragraph" w:styleId="Heading4">
    <w:name w:val="heading 4"/>
    <w:basedOn w:val="Normal"/>
    <w:next w:val="Normal"/>
    <w:link w:val="Heading4Char"/>
    <w:uiPriority w:val="9"/>
    <w:semiHidden/>
    <w:unhideWhenUsed/>
    <w:qFormat/>
    <w:rsid w:val="00EF11CB"/>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F11CB"/>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F11CB"/>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F11CB"/>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F11CB"/>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11CB"/>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947"/>
    <w:rPr>
      <w:rFonts w:ascii="Segoe UI" w:hAnsi="Segoe UI" w:cs="Segoe UI"/>
      <w:sz w:val="18"/>
      <w:szCs w:val="18"/>
    </w:rPr>
  </w:style>
  <w:style w:type="paragraph" w:styleId="Header">
    <w:name w:val="header"/>
    <w:basedOn w:val="Normal"/>
    <w:link w:val="HeaderChar"/>
    <w:uiPriority w:val="99"/>
    <w:unhideWhenUsed/>
    <w:rsid w:val="00224764"/>
    <w:pPr>
      <w:tabs>
        <w:tab w:val="center" w:pos="4677"/>
        <w:tab w:val="right" w:pos="9355"/>
      </w:tabs>
      <w:spacing w:after="0" w:line="240" w:lineRule="auto"/>
    </w:pPr>
  </w:style>
  <w:style w:type="character" w:customStyle="1" w:styleId="HeaderChar">
    <w:name w:val="Header Char"/>
    <w:basedOn w:val="DefaultParagraphFont"/>
    <w:link w:val="Header"/>
    <w:uiPriority w:val="99"/>
    <w:rsid w:val="00224764"/>
  </w:style>
  <w:style w:type="paragraph" w:styleId="Footer">
    <w:name w:val="footer"/>
    <w:basedOn w:val="Normal"/>
    <w:link w:val="FooterChar"/>
    <w:uiPriority w:val="99"/>
    <w:unhideWhenUsed/>
    <w:rsid w:val="00224764"/>
    <w:pPr>
      <w:tabs>
        <w:tab w:val="center" w:pos="4677"/>
        <w:tab w:val="right" w:pos="9355"/>
      </w:tabs>
      <w:spacing w:after="0" w:line="240" w:lineRule="auto"/>
    </w:pPr>
  </w:style>
  <w:style w:type="character" w:customStyle="1" w:styleId="FooterChar">
    <w:name w:val="Footer Char"/>
    <w:basedOn w:val="DefaultParagraphFont"/>
    <w:link w:val="Footer"/>
    <w:uiPriority w:val="99"/>
    <w:rsid w:val="00224764"/>
  </w:style>
  <w:style w:type="character" w:styleId="Hyperlink">
    <w:name w:val="Hyperlink"/>
    <w:basedOn w:val="DefaultParagraphFont"/>
    <w:uiPriority w:val="99"/>
    <w:unhideWhenUsed/>
    <w:rsid w:val="00291E4F"/>
    <w:rPr>
      <w:color w:val="0563C1" w:themeColor="hyperlink"/>
      <w:u w:val="single"/>
    </w:rPr>
  </w:style>
  <w:style w:type="paragraph" w:styleId="ListParagraph">
    <w:name w:val="List Paragraph"/>
    <w:basedOn w:val="Normal"/>
    <w:uiPriority w:val="1"/>
    <w:qFormat/>
    <w:rsid w:val="00644F8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Heading1Char">
    <w:name w:val="Heading 1 Char"/>
    <w:basedOn w:val="DefaultParagraphFont"/>
    <w:link w:val="Heading1"/>
    <w:rsid w:val="00EF11CB"/>
    <w:rPr>
      <w:rFonts w:ascii="Times New Roman" w:hAnsi="Times New Roman" w:cs="Times New Roman"/>
      <w:b/>
      <w:sz w:val="24"/>
      <w:lang w:val="en-GB"/>
    </w:rPr>
  </w:style>
  <w:style w:type="character" w:customStyle="1" w:styleId="Heading2Char">
    <w:name w:val="Heading 2 Char"/>
    <w:basedOn w:val="DefaultParagraphFont"/>
    <w:link w:val="Heading2"/>
    <w:rsid w:val="00EF11CB"/>
    <w:rPr>
      <w:rFonts w:ascii="Times New Roman" w:hAnsi="Times New Roman" w:cs="Times New Roman"/>
      <w:sz w:val="24"/>
      <w:u w:val="single"/>
      <w:lang w:val="en-GB"/>
    </w:rPr>
  </w:style>
  <w:style w:type="character" w:customStyle="1" w:styleId="Heading3Char">
    <w:name w:val="Heading 3 Char"/>
    <w:basedOn w:val="DefaultParagraphFont"/>
    <w:link w:val="Heading3"/>
    <w:rsid w:val="00EF11CB"/>
    <w:rPr>
      <w:rFonts w:ascii="Times New Roman" w:hAnsi="Times New Roman" w:cs="Times New Roman"/>
      <w:b/>
      <w:i/>
      <w:kern w:val="28"/>
      <w:sz w:val="28"/>
      <w:u w:val="single"/>
      <w:lang w:val="en-GB"/>
    </w:rPr>
  </w:style>
  <w:style w:type="character" w:customStyle="1" w:styleId="Heading4Char">
    <w:name w:val="Heading 4 Char"/>
    <w:basedOn w:val="DefaultParagraphFont"/>
    <w:link w:val="Heading4"/>
    <w:uiPriority w:val="9"/>
    <w:semiHidden/>
    <w:rsid w:val="00EF1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F11C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F11C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F11C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F11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11CB"/>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F11CB"/>
    <w:pPr>
      <w:spacing w:after="0" w:line="240" w:lineRule="auto"/>
    </w:pPr>
    <w:rPr>
      <w:rFonts w:ascii="Calibri" w:eastAsia="Calibri" w:hAnsi="Calibri" w:cs="Times New Roman"/>
      <w:lang w:val="en-US" w:bidi="en-US"/>
    </w:rPr>
  </w:style>
  <w:style w:type="character" w:customStyle="1" w:styleId="NoSpacingChar">
    <w:name w:val="No Spacing Char"/>
    <w:link w:val="NoSpacing"/>
    <w:uiPriority w:val="1"/>
    <w:rsid w:val="00EF11CB"/>
    <w:rPr>
      <w:rFonts w:ascii="Calibri" w:eastAsia="Calibri" w:hAnsi="Calibri" w:cs="Times New Roman"/>
      <w:lang w:val="en-US" w:bidi="en-US"/>
    </w:rPr>
  </w:style>
  <w:style w:type="table" w:customStyle="1" w:styleId="TableGrid">
    <w:name w:val="TableGrid"/>
    <w:rsid w:val="00EF11C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 Grid1"/>
    <w:basedOn w:val="TableNormal"/>
    <w:next w:val="TableGrid0"/>
    <w:uiPriority w:val="39"/>
    <w:rsid w:val="00EF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F11CB"/>
    <w:pPr>
      <w:spacing w:after="120"/>
    </w:pPr>
  </w:style>
  <w:style w:type="character" w:customStyle="1" w:styleId="BodyTextChar">
    <w:name w:val="Body Text Char"/>
    <w:basedOn w:val="DefaultParagraphFont"/>
    <w:link w:val="BodyText"/>
    <w:uiPriority w:val="99"/>
    <w:semiHidden/>
    <w:rsid w:val="00EF11CB"/>
  </w:style>
  <w:style w:type="table" w:styleId="TableGrid0">
    <w:name w:val="Table Grid"/>
    <w:basedOn w:val="TableNormal"/>
    <w:rsid w:val="00EF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EA6"/>
    <w:pPr>
      <w:autoSpaceDE w:val="0"/>
      <w:autoSpaceDN w:val="0"/>
      <w:adjustRightInd w:val="0"/>
      <w:spacing w:after="0" w:line="240" w:lineRule="auto"/>
    </w:pPr>
    <w:rPr>
      <w:rFonts w:ascii="Cambria" w:hAnsi="Cambria" w:cs="Cambria"/>
      <w:color w:val="000000"/>
      <w:sz w:val="24"/>
      <w:szCs w:val="24"/>
      <w:lang w:val="en-GB"/>
    </w:rPr>
  </w:style>
  <w:style w:type="paragraph" w:styleId="Title">
    <w:name w:val="Title"/>
    <w:basedOn w:val="Normal"/>
    <w:link w:val="TitleChar"/>
    <w:uiPriority w:val="99"/>
    <w:qFormat/>
    <w:rsid w:val="00EF50A1"/>
    <w:pPr>
      <w:spacing w:after="0" w:line="240" w:lineRule="auto"/>
      <w:jc w:val="center"/>
    </w:pPr>
    <w:rPr>
      <w:rFonts w:ascii="Arial" w:eastAsia="Times New Roman" w:hAnsi="Arial" w:cs="Times New Roman"/>
      <w:b/>
      <w:sz w:val="24"/>
      <w:szCs w:val="20"/>
      <w:lang w:eastAsia="ru-RU"/>
    </w:rPr>
  </w:style>
  <w:style w:type="character" w:customStyle="1" w:styleId="TitleChar">
    <w:name w:val="Title Char"/>
    <w:basedOn w:val="DefaultParagraphFont"/>
    <w:link w:val="Title"/>
    <w:uiPriority w:val="99"/>
    <w:rsid w:val="00EF50A1"/>
    <w:rPr>
      <w:rFonts w:ascii="Arial" w:eastAsia="Times New Roman" w:hAnsi="Arial" w:cs="Times New Roman"/>
      <w:b/>
      <w:sz w:val="24"/>
      <w:szCs w:val="20"/>
      <w:lang w:val="en-US" w:eastAsia="ru-RU"/>
    </w:rPr>
  </w:style>
  <w:style w:type="paragraph" w:styleId="NormalWeb">
    <w:name w:val="Normal (Web)"/>
    <w:basedOn w:val="Normal"/>
    <w:uiPriority w:val="99"/>
    <w:semiHidden/>
    <w:unhideWhenUsed/>
    <w:rsid w:val="00864AB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uiPriority w:val="99"/>
    <w:semiHidden/>
    <w:unhideWhenUsed/>
    <w:rsid w:val="00686D59"/>
    <w:pPr>
      <w:spacing w:after="120"/>
      <w:ind w:left="283"/>
    </w:pPr>
  </w:style>
  <w:style w:type="character" w:customStyle="1" w:styleId="BodyTextIndentChar">
    <w:name w:val="Body Text Indent Char"/>
    <w:basedOn w:val="DefaultParagraphFont"/>
    <w:link w:val="BodyTextIndent"/>
    <w:uiPriority w:val="99"/>
    <w:semiHidden/>
    <w:rsid w:val="00686D59"/>
    <w:rPr>
      <w:lang w:val="en-US"/>
    </w:rPr>
  </w:style>
  <w:style w:type="character" w:styleId="CommentReference">
    <w:name w:val="annotation reference"/>
    <w:basedOn w:val="DefaultParagraphFont"/>
    <w:uiPriority w:val="99"/>
    <w:semiHidden/>
    <w:unhideWhenUsed/>
    <w:rsid w:val="004A0D94"/>
    <w:rPr>
      <w:sz w:val="16"/>
      <w:szCs w:val="16"/>
    </w:rPr>
  </w:style>
  <w:style w:type="paragraph" w:styleId="CommentText">
    <w:name w:val="annotation text"/>
    <w:basedOn w:val="Normal"/>
    <w:link w:val="CommentTextChar"/>
    <w:uiPriority w:val="99"/>
    <w:semiHidden/>
    <w:unhideWhenUsed/>
    <w:rsid w:val="004A0D94"/>
    <w:pPr>
      <w:spacing w:line="240" w:lineRule="auto"/>
    </w:pPr>
    <w:rPr>
      <w:sz w:val="20"/>
      <w:szCs w:val="20"/>
    </w:rPr>
  </w:style>
  <w:style w:type="character" w:customStyle="1" w:styleId="CommentTextChar">
    <w:name w:val="Comment Text Char"/>
    <w:basedOn w:val="DefaultParagraphFont"/>
    <w:link w:val="CommentText"/>
    <w:uiPriority w:val="99"/>
    <w:semiHidden/>
    <w:rsid w:val="004A0D94"/>
    <w:rPr>
      <w:sz w:val="20"/>
      <w:szCs w:val="20"/>
      <w:lang w:val="en-US"/>
    </w:rPr>
  </w:style>
  <w:style w:type="paragraph" w:styleId="CommentSubject">
    <w:name w:val="annotation subject"/>
    <w:basedOn w:val="CommentText"/>
    <w:next w:val="CommentText"/>
    <w:link w:val="CommentSubjectChar"/>
    <w:uiPriority w:val="99"/>
    <w:semiHidden/>
    <w:unhideWhenUsed/>
    <w:rsid w:val="004A0D94"/>
    <w:rPr>
      <w:b/>
      <w:bCs/>
    </w:rPr>
  </w:style>
  <w:style w:type="character" w:customStyle="1" w:styleId="CommentSubjectChar">
    <w:name w:val="Comment Subject Char"/>
    <w:basedOn w:val="CommentTextChar"/>
    <w:link w:val="CommentSubject"/>
    <w:uiPriority w:val="99"/>
    <w:semiHidden/>
    <w:rsid w:val="004A0D94"/>
    <w:rPr>
      <w:b/>
      <w:bCs/>
      <w:sz w:val="20"/>
      <w:szCs w:val="20"/>
      <w:lang w:val="en-US"/>
    </w:rPr>
  </w:style>
  <w:style w:type="paragraph" w:styleId="Revision">
    <w:name w:val="Revision"/>
    <w:hidden/>
    <w:uiPriority w:val="99"/>
    <w:semiHidden/>
    <w:rsid w:val="008D255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553">
      <w:bodyDiv w:val="1"/>
      <w:marLeft w:val="0"/>
      <w:marRight w:val="0"/>
      <w:marTop w:val="0"/>
      <w:marBottom w:val="0"/>
      <w:divBdr>
        <w:top w:val="none" w:sz="0" w:space="0" w:color="auto"/>
        <w:left w:val="none" w:sz="0" w:space="0" w:color="auto"/>
        <w:bottom w:val="none" w:sz="0" w:space="0" w:color="auto"/>
        <w:right w:val="none" w:sz="0" w:space="0" w:color="auto"/>
      </w:divBdr>
    </w:div>
    <w:div w:id="55469732">
      <w:bodyDiv w:val="1"/>
      <w:marLeft w:val="0"/>
      <w:marRight w:val="0"/>
      <w:marTop w:val="0"/>
      <w:marBottom w:val="0"/>
      <w:divBdr>
        <w:top w:val="none" w:sz="0" w:space="0" w:color="auto"/>
        <w:left w:val="none" w:sz="0" w:space="0" w:color="auto"/>
        <w:bottom w:val="none" w:sz="0" w:space="0" w:color="auto"/>
        <w:right w:val="none" w:sz="0" w:space="0" w:color="auto"/>
      </w:divBdr>
    </w:div>
    <w:div w:id="128986205">
      <w:bodyDiv w:val="1"/>
      <w:marLeft w:val="0"/>
      <w:marRight w:val="0"/>
      <w:marTop w:val="0"/>
      <w:marBottom w:val="0"/>
      <w:divBdr>
        <w:top w:val="none" w:sz="0" w:space="0" w:color="auto"/>
        <w:left w:val="none" w:sz="0" w:space="0" w:color="auto"/>
        <w:bottom w:val="none" w:sz="0" w:space="0" w:color="auto"/>
        <w:right w:val="none" w:sz="0" w:space="0" w:color="auto"/>
      </w:divBdr>
    </w:div>
    <w:div w:id="174925088">
      <w:bodyDiv w:val="1"/>
      <w:marLeft w:val="0"/>
      <w:marRight w:val="0"/>
      <w:marTop w:val="0"/>
      <w:marBottom w:val="0"/>
      <w:divBdr>
        <w:top w:val="none" w:sz="0" w:space="0" w:color="auto"/>
        <w:left w:val="none" w:sz="0" w:space="0" w:color="auto"/>
        <w:bottom w:val="none" w:sz="0" w:space="0" w:color="auto"/>
        <w:right w:val="none" w:sz="0" w:space="0" w:color="auto"/>
      </w:divBdr>
    </w:div>
    <w:div w:id="254436135">
      <w:bodyDiv w:val="1"/>
      <w:marLeft w:val="0"/>
      <w:marRight w:val="0"/>
      <w:marTop w:val="0"/>
      <w:marBottom w:val="0"/>
      <w:divBdr>
        <w:top w:val="none" w:sz="0" w:space="0" w:color="auto"/>
        <w:left w:val="none" w:sz="0" w:space="0" w:color="auto"/>
        <w:bottom w:val="none" w:sz="0" w:space="0" w:color="auto"/>
        <w:right w:val="none" w:sz="0" w:space="0" w:color="auto"/>
      </w:divBdr>
      <w:divsChild>
        <w:div w:id="418789367">
          <w:marLeft w:val="0"/>
          <w:marRight w:val="0"/>
          <w:marTop w:val="0"/>
          <w:marBottom w:val="0"/>
          <w:divBdr>
            <w:top w:val="none" w:sz="0" w:space="0" w:color="auto"/>
            <w:left w:val="none" w:sz="0" w:space="0" w:color="auto"/>
            <w:bottom w:val="none" w:sz="0" w:space="0" w:color="auto"/>
            <w:right w:val="none" w:sz="0" w:space="0" w:color="auto"/>
          </w:divBdr>
        </w:div>
        <w:div w:id="591822091">
          <w:marLeft w:val="0"/>
          <w:marRight w:val="0"/>
          <w:marTop w:val="0"/>
          <w:marBottom w:val="0"/>
          <w:divBdr>
            <w:top w:val="none" w:sz="0" w:space="0" w:color="auto"/>
            <w:left w:val="none" w:sz="0" w:space="0" w:color="auto"/>
            <w:bottom w:val="none" w:sz="0" w:space="0" w:color="auto"/>
            <w:right w:val="none" w:sz="0" w:space="0" w:color="auto"/>
          </w:divBdr>
        </w:div>
        <w:div w:id="798301737">
          <w:marLeft w:val="0"/>
          <w:marRight w:val="0"/>
          <w:marTop w:val="0"/>
          <w:marBottom w:val="0"/>
          <w:divBdr>
            <w:top w:val="none" w:sz="0" w:space="0" w:color="auto"/>
            <w:left w:val="none" w:sz="0" w:space="0" w:color="auto"/>
            <w:bottom w:val="none" w:sz="0" w:space="0" w:color="auto"/>
            <w:right w:val="none" w:sz="0" w:space="0" w:color="auto"/>
          </w:divBdr>
        </w:div>
        <w:div w:id="713120828">
          <w:marLeft w:val="0"/>
          <w:marRight w:val="0"/>
          <w:marTop w:val="0"/>
          <w:marBottom w:val="0"/>
          <w:divBdr>
            <w:top w:val="none" w:sz="0" w:space="0" w:color="auto"/>
            <w:left w:val="none" w:sz="0" w:space="0" w:color="auto"/>
            <w:bottom w:val="none" w:sz="0" w:space="0" w:color="auto"/>
            <w:right w:val="none" w:sz="0" w:space="0" w:color="auto"/>
          </w:divBdr>
        </w:div>
        <w:div w:id="143937033">
          <w:marLeft w:val="0"/>
          <w:marRight w:val="0"/>
          <w:marTop w:val="0"/>
          <w:marBottom w:val="0"/>
          <w:divBdr>
            <w:top w:val="none" w:sz="0" w:space="0" w:color="auto"/>
            <w:left w:val="none" w:sz="0" w:space="0" w:color="auto"/>
            <w:bottom w:val="none" w:sz="0" w:space="0" w:color="auto"/>
            <w:right w:val="none" w:sz="0" w:space="0" w:color="auto"/>
          </w:divBdr>
        </w:div>
        <w:div w:id="1470630924">
          <w:marLeft w:val="0"/>
          <w:marRight w:val="0"/>
          <w:marTop w:val="0"/>
          <w:marBottom w:val="0"/>
          <w:divBdr>
            <w:top w:val="none" w:sz="0" w:space="0" w:color="auto"/>
            <w:left w:val="none" w:sz="0" w:space="0" w:color="auto"/>
            <w:bottom w:val="none" w:sz="0" w:space="0" w:color="auto"/>
            <w:right w:val="none" w:sz="0" w:space="0" w:color="auto"/>
          </w:divBdr>
        </w:div>
        <w:div w:id="710611563">
          <w:marLeft w:val="0"/>
          <w:marRight w:val="0"/>
          <w:marTop w:val="0"/>
          <w:marBottom w:val="0"/>
          <w:divBdr>
            <w:top w:val="none" w:sz="0" w:space="0" w:color="auto"/>
            <w:left w:val="none" w:sz="0" w:space="0" w:color="auto"/>
            <w:bottom w:val="none" w:sz="0" w:space="0" w:color="auto"/>
            <w:right w:val="none" w:sz="0" w:space="0" w:color="auto"/>
          </w:divBdr>
        </w:div>
      </w:divsChild>
    </w:div>
    <w:div w:id="300186670">
      <w:bodyDiv w:val="1"/>
      <w:marLeft w:val="0"/>
      <w:marRight w:val="0"/>
      <w:marTop w:val="0"/>
      <w:marBottom w:val="0"/>
      <w:divBdr>
        <w:top w:val="none" w:sz="0" w:space="0" w:color="auto"/>
        <w:left w:val="none" w:sz="0" w:space="0" w:color="auto"/>
        <w:bottom w:val="none" w:sz="0" w:space="0" w:color="auto"/>
        <w:right w:val="none" w:sz="0" w:space="0" w:color="auto"/>
      </w:divBdr>
    </w:div>
    <w:div w:id="334261087">
      <w:bodyDiv w:val="1"/>
      <w:marLeft w:val="0"/>
      <w:marRight w:val="0"/>
      <w:marTop w:val="0"/>
      <w:marBottom w:val="0"/>
      <w:divBdr>
        <w:top w:val="none" w:sz="0" w:space="0" w:color="auto"/>
        <w:left w:val="none" w:sz="0" w:space="0" w:color="auto"/>
        <w:bottom w:val="none" w:sz="0" w:space="0" w:color="auto"/>
        <w:right w:val="none" w:sz="0" w:space="0" w:color="auto"/>
      </w:divBdr>
    </w:div>
    <w:div w:id="411705462">
      <w:bodyDiv w:val="1"/>
      <w:marLeft w:val="0"/>
      <w:marRight w:val="0"/>
      <w:marTop w:val="0"/>
      <w:marBottom w:val="0"/>
      <w:divBdr>
        <w:top w:val="none" w:sz="0" w:space="0" w:color="auto"/>
        <w:left w:val="none" w:sz="0" w:space="0" w:color="auto"/>
        <w:bottom w:val="none" w:sz="0" w:space="0" w:color="auto"/>
        <w:right w:val="none" w:sz="0" w:space="0" w:color="auto"/>
      </w:divBdr>
    </w:div>
    <w:div w:id="511261986">
      <w:bodyDiv w:val="1"/>
      <w:marLeft w:val="0"/>
      <w:marRight w:val="0"/>
      <w:marTop w:val="0"/>
      <w:marBottom w:val="0"/>
      <w:divBdr>
        <w:top w:val="none" w:sz="0" w:space="0" w:color="auto"/>
        <w:left w:val="none" w:sz="0" w:space="0" w:color="auto"/>
        <w:bottom w:val="none" w:sz="0" w:space="0" w:color="auto"/>
        <w:right w:val="none" w:sz="0" w:space="0" w:color="auto"/>
      </w:divBdr>
    </w:div>
    <w:div w:id="622420902">
      <w:bodyDiv w:val="1"/>
      <w:marLeft w:val="0"/>
      <w:marRight w:val="0"/>
      <w:marTop w:val="0"/>
      <w:marBottom w:val="0"/>
      <w:divBdr>
        <w:top w:val="none" w:sz="0" w:space="0" w:color="auto"/>
        <w:left w:val="none" w:sz="0" w:space="0" w:color="auto"/>
        <w:bottom w:val="none" w:sz="0" w:space="0" w:color="auto"/>
        <w:right w:val="none" w:sz="0" w:space="0" w:color="auto"/>
      </w:divBdr>
    </w:div>
    <w:div w:id="1032918571">
      <w:bodyDiv w:val="1"/>
      <w:marLeft w:val="0"/>
      <w:marRight w:val="0"/>
      <w:marTop w:val="0"/>
      <w:marBottom w:val="0"/>
      <w:divBdr>
        <w:top w:val="none" w:sz="0" w:space="0" w:color="auto"/>
        <w:left w:val="none" w:sz="0" w:space="0" w:color="auto"/>
        <w:bottom w:val="none" w:sz="0" w:space="0" w:color="auto"/>
        <w:right w:val="none" w:sz="0" w:space="0" w:color="auto"/>
      </w:divBdr>
    </w:div>
    <w:div w:id="1424254477">
      <w:bodyDiv w:val="1"/>
      <w:marLeft w:val="0"/>
      <w:marRight w:val="0"/>
      <w:marTop w:val="0"/>
      <w:marBottom w:val="0"/>
      <w:divBdr>
        <w:top w:val="none" w:sz="0" w:space="0" w:color="auto"/>
        <w:left w:val="none" w:sz="0" w:space="0" w:color="auto"/>
        <w:bottom w:val="none" w:sz="0" w:space="0" w:color="auto"/>
        <w:right w:val="none" w:sz="0" w:space="0" w:color="auto"/>
      </w:divBdr>
    </w:div>
    <w:div w:id="1445032422">
      <w:bodyDiv w:val="1"/>
      <w:marLeft w:val="0"/>
      <w:marRight w:val="0"/>
      <w:marTop w:val="0"/>
      <w:marBottom w:val="0"/>
      <w:divBdr>
        <w:top w:val="none" w:sz="0" w:space="0" w:color="auto"/>
        <w:left w:val="none" w:sz="0" w:space="0" w:color="auto"/>
        <w:bottom w:val="none" w:sz="0" w:space="0" w:color="auto"/>
        <w:right w:val="none" w:sz="0" w:space="0" w:color="auto"/>
      </w:divBdr>
    </w:div>
    <w:div w:id="1722362640">
      <w:bodyDiv w:val="1"/>
      <w:marLeft w:val="0"/>
      <w:marRight w:val="0"/>
      <w:marTop w:val="0"/>
      <w:marBottom w:val="0"/>
      <w:divBdr>
        <w:top w:val="none" w:sz="0" w:space="0" w:color="auto"/>
        <w:left w:val="none" w:sz="0" w:space="0" w:color="auto"/>
        <w:bottom w:val="none" w:sz="0" w:space="0" w:color="auto"/>
        <w:right w:val="none" w:sz="0" w:space="0" w:color="auto"/>
      </w:divBdr>
    </w:div>
    <w:div w:id="17725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kanestas.com" TargetMode="External"/><Relationship Id="rId1" Type="http://schemas.openxmlformats.org/officeDocument/2006/relationships/hyperlink" Target="mailto:info@skanest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84AF-81BB-478D-A993-33A5E252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1647</Words>
  <Characters>9391</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dc:creator>
  <cp:keywords/>
  <dc:description/>
  <cp:lastModifiedBy>Olga Vinogradova</cp:lastModifiedBy>
  <cp:revision>58</cp:revision>
  <cp:lastPrinted>2021-06-16T14:03:00Z</cp:lastPrinted>
  <dcterms:created xsi:type="dcterms:W3CDTF">2021-06-16T14:29:00Z</dcterms:created>
  <dcterms:modified xsi:type="dcterms:W3CDTF">2021-10-13T13:24:00Z</dcterms:modified>
</cp:coreProperties>
</file>