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3916"/>
        <w:tblW w:w="5000" w:type="pct"/>
        <w:tblBorders>
          <w:left w:val="single" w:sz="18" w:space="0" w:color="4F81BD"/>
        </w:tblBorders>
        <w:tblLook w:val="04A0" w:firstRow="1" w:lastRow="0" w:firstColumn="1" w:lastColumn="0" w:noHBand="0" w:noVBand="1"/>
      </w:tblPr>
      <w:tblGrid>
        <w:gridCol w:w="9898"/>
      </w:tblGrid>
      <w:tr w:rsidR="00B6764C" w:rsidRPr="009E7178" w14:paraId="756A54D1" w14:textId="77777777" w:rsidTr="00095D42">
        <w:tc>
          <w:tcPr>
            <w:tcW w:w="9615" w:type="dxa"/>
          </w:tcPr>
          <w:p w14:paraId="72139C91" w14:textId="6AFA231E" w:rsidR="00AF757A" w:rsidRPr="009E7178" w:rsidRDefault="00E31A5E" w:rsidP="00D621D3">
            <w:pPr>
              <w:pStyle w:val="Title"/>
              <w:framePr w:hSpace="0" w:wrap="auto" w:vAnchor="margin" w:hAnchor="text" w:yAlign="inline"/>
            </w:pPr>
            <w:bookmarkStart w:id="0" w:name="_GoBack"/>
            <w:bookmarkEnd w:id="0"/>
            <w:r w:rsidRPr="009E7178">
              <w:t xml:space="preserve">PRODUCT </w:t>
            </w:r>
            <w:r w:rsidR="007E1F1C" w:rsidRPr="009E7178">
              <w:t xml:space="preserve">GOVERNANCE </w:t>
            </w:r>
            <w:r w:rsidRPr="009E7178">
              <w:t>POLICY</w:t>
            </w:r>
          </w:p>
        </w:tc>
      </w:tr>
    </w:tbl>
    <w:p w14:paraId="6FD6F8D5" w14:textId="77777777" w:rsidR="00AF757A" w:rsidRPr="009E7178" w:rsidRDefault="00AF757A" w:rsidP="00AF757A">
      <w:pPr>
        <w:rPr>
          <w:rFonts w:cs="Times New Roman"/>
          <w:b/>
          <w:u w:val="single"/>
        </w:rPr>
      </w:pPr>
    </w:p>
    <w:p w14:paraId="2514F7AB" w14:textId="77777777" w:rsidR="00AF757A" w:rsidRPr="009E7178" w:rsidRDefault="00AF757A" w:rsidP="00AF757A">
      <w:pPr>
        <w:rPr>
          <w:rFonts w:cs="Times New Roman"/>
          <w:b/>
          <w:u w:val="single"/>
        </w:rPr>
      </w:pPr>
    </w:p>
    <w:p w14:paraId="306E315D" w14:textId="77777777" w:rsidR="00AF757A" w:rsidRPr="009E7178" w:rsidRDefault="00AF757A" w:rsidP="00AF757A">
      <w:pPr>
        <w:rPr>
          <w:rFonts w:cs="Times New Roman"/>
          <w:b/>
          <w:u w:val="single"/>
        </w:rPr>
      </w:pPr>
    </w:p>
    <w:p w14:paraId="0E689940" w14:textId="77777777" w:rsidR="00AF757A" w:rsidRPr="009E7178" w:rsidRDefault="00AF757A" w:rsidP="00AF757A">
      <w:pPr>
        <w:rPr>
          <w:rFonts w:cs="Times New Roman"/>
          <w:b/>
          <w:u w:val="single"/>
        </w:rPr>
      </w:pPr>
    </w:p>
    <w:p w14:paraId="5DCBE545" w14:textId="77777777" w:rsidR="00AF757A" w:rsidRPr="009E7178" w:rsidRDefault="00AF757A" w:rsidP="00AF757A">
      <w:pPr>
        <w:rPr>
          <w:rFonts w:cs="Times New Roman"/>
          <w:b/>
          <w:u w:val="single"/>
        </w:rPr>
      </w:pPr>
    </w:p>
    <w:p w14:paraId="72276AAB" w14:textId="77777777" w:rsidR="00AF757A" w:rsidRPr="009E7178" w:rsidRDefault="00AF757A" w:rsidP="00AF757A">
      <w:pPr>
        <w:rPr>
          <w:rFonts w:cs="Times New Roman"/>
          <w:b/>
          <w:u w:val="single"/>
        </w:rPr>
      </w:pPr>
    </w:p>
    <w:p w14:paraId="6D3423D2" w14:textId="77777777" w:rsidR="00AF757A" w:rsidRPr="009E7178" w:rsidRDefault="00AF757A" w:rsidP="00AF757A">
      <w:pPr>
        <w:rPr>
          <w:rFonts w:cs="Times New Roman"/>
          <w:b/>
          <w:u w:val="single"/>
        </w:rPr>
      </w:pPr>
    </w:p>
    <w:p w14:paraId="0374A592" w14:textId="77777777" w:rsidR="00044ABA" w:rsidRPr="009E7178" w:rsidRDefault="00044ABA" w:rsidP="00AF16AE">
      <w:pPr>
        <w:ind w:left="6372" w:hanging="6372"/>
        <w:rPr>
          <w:rFonts w:cs="Times New Roman"/>
          <w:b/>
          <w:u w:val="single"/>
        </w:rPr>
      </w:pPr>
    </w:p>
    <w:p w14:paraId="2D008092" w14:textId="77777777" w:rsidR="00044ABA" w:rsidRPr="009E7178" w:rsidRDefault="00044ABA" w:rsidP="00AF757A">
      <w:pPr>
        <w:rPr>
          <w:rFonts w:cs="Times New Roman"/>
          <w:b/>
          <w:u w:val="single"/>
        </w:rPr>
      </w:pPr>
    </w:p>
    <w:p w14:paraId="512488BB" w14:textId="77777777" w:rsidR="00044ABA" w:rsidRPr="009E7178" w:rsidRDefault="00044ABA" w:rsidP="00AF757A">
      <w:pPr>
        <w:rPr>
          <w:rFonts w:cs="Times New Roman"/>
          <w:b/>
          <w:u w:val="single"/>
        </w:rPr>
      </w:pPr>
    </w:p>
    <w:p w14:paraId="019E49CD" w14:textId="77777777" w:rsidR="00044ABA" w:rsidRPr="009E7178" w:rsidRDefault="00044ABA" w:rsidP="00AF757A">
      <w:pPr>
        <w:rPr>
          <w:rFonts w:cs="Times New Roman"/>
          <w:b/>
          <w:u w:val="single"/>
        </w:rPr>
      </w:pPr>
    </w:p>
    <w:p w14:paraId="0751332A" w14:textId="77777777" w:rsidR="00044ABA" w:rsidRPr="009E7178" w:rsidRDefault="00044ABA" w:rsidP="00AF757A">
      <w:pPr>
        <w:rPr>
          <w:rFonts w:cs="Times New Roman"/>
          <w:b/>
          <w:u w:val="single"/>
        </w:rPr>
      </w:pPr>
    </w:p>
    <w:p w14:paraId="044F1951" w14:textId="77777777" w:rsidR="00AF757A" w:rsidRPr="009E7178" w:rsidRDefault="00AF757A" w:rsidP="00AF757A">
      <w:pPr>
        <w:rPr>
          <w:rFonts w:cs="Times New Roman"/>
          <w:b/>
          <w:u w:val="single"/>
        </w:rPr>
      </w:pPr>
    </w:p>
    <w:p w14:paraId="698AECCC" w14:textId="77777777" w:rsidR="00AF757A" w:rsidRPr="009E7178" w:rsidRDefault="00AF757A" w:rsidP="005F0355">
      <w:pPr>
        <w:keepNext/>
        <w:rPr>
          <w:rFonts w:cs="Times New Roman"/>
        </w:rPr>
      </w:pPr>
      <w:r w:rsidRPr="009E7178">
        <w:rPr>
          <w:rFonts w:cs="Times New Roman"/>
        </w:rPr>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83"/>
        <w:gridCol w:w="1357"/>
        <w:gridCol w:w="2269"/>
        <w:gridCol w:w="2867"/>
        <w:gridCol w:w="1409"/>
        <w:gridCol w:w="1520"/>
      </w:tblGrid>
      <w:tr w:rsidR="00B6764C" w:rsidRPr="009E7178" w14:paraId="585DEB82" w14:textId="77777777" w:rsidTr="009A2B07">
        <w:trPr>
          <w:trHeight w:val="511"/>
          <w:tblHeader/>
        </w:trPr>
        <w:tc>
          <w:tcPr>
            <w:tcW w:w="0" w:type="auto"/>
            <w:vAlign w:val="center"/>
          </w:tcPr>
          <w:p w14:paraId="11AB4D0B" w14:textId="77777777" w:rsidR="00AF757A" w:rsidRPr="009E7178" w:rsidRDefault="00AF757A" w:rsidP="009A2B07">
            <w:pPr>
              <w:pStyle w:val="Spreadsheet"/>
              <w:keepNext/>
            </w:pPr>
            <w:r w:rsidRPr="009E7178">
              <w:t>No</w:t>
            </w:r>
          </w:p>
        </w:tc>
        <w:tc>
          <w:tcPr>
            <w:tcW w:w="0" w:type="auto"/>
            <w:vAlign w:val="center"/>
          </w:tcPr>
          <w:p w14:paraId="73B746EE" w14:textId="77777777" w:rsidR="00AF757A" w:rsidRPr="009E7178" w:rsidRDefault="00AF757A" w:rsidP="009A2B07">
            <w:pPr>
              <w:pStyle w:val="Spreadsheet"/>
              <w:keepNext/>
            </w:pPr>
            <w:r w:rsidRPr="009E7178">
              <w:t>Revision Date</w:t>
            </w:r>
          </w:p>
        </w:tc>
        <w:tc>
          <w:tcPr>
            <w:tcW w:w="0" w:type="auto"/>
            <w:vAlign w:val="center"/>
          </w:tcPr>
          <w:p w14:paraId="5929118B" w14:textId="77777777" w:rsidR="00AF757A" w:rsidRPr="009E7178" w:rsidRDefault="00AF757A" w:rsidP="009A2B07">
            <w:pPr>
              <w:pStyle w:val="Spreadsheet"/>
              <w:keepNext/>
            </w:pPr>
            <w:r w:rsidRPr="009E7178">
              <w:t>Revision Description</w:t>
            </w:r>
          </w:p>
        </w:tc>
        <w:tc>
          <w:tcPr>
            <w:tcW w:w="0" w:type="auto"/>
            <w:vAlign w:val="center"/>
          </w:tcPr>
          <w:p w14:paraId="1792EFB8" w14:textId="77777777" w:rsidR="00AF757A" w:rsidRPr="009E7178" w:rsidRDefault="00AF757A" w:rsidP="009A2B07">
            <w:pPr>
              <w:pStyle w:val="Spreadsheet"/>
              <w:keepNext/>
            </w:pPr>
            <w:r w:rsidRPr="009E7178">
              <w:t>Author</w:t>
            </w:r>
          </w:p>
        </w:tc>
        <w:tc>
          <w:tcPr>
            <w:tcW w:w="0" w:type="auto"/>
            <w:vAlign w:val="center"/>
          </w:tcPr>
          <w:p w14:paraId="7B0320BC" w14:textId="77777777" w:rsidR="00AF757A" w:rsidRPr="009E7178" w:rsidRDefault="00AF757A" w:rsidP="009A2B07">
            <w:pPr>
              <w:pStyle w:val="Spreadsheet"/>
              <w:keepNext/>
            </w:pPr>
            <w:r w:rsidRPr="009E7178">
              <w:t>Approved By</w:t>
            </w:r>
          </w:p>
        </w:tc>
        <w:tc>
          <w:tcPr>
            <w:tcW w:w="0" w:type="auto"/>
            <w:vAlign w:val="center"/>
          </w:tcPr>
          <w:p w14:paraId="420BC3A8" w14:textId="77777777" w:rsidR="00AF757A" w:rsidRPr="009E7178" w:rsidRDefault="00AF757A" w:rsidP="009A2B07">
            <w:pPr>
              <w:pStyle w:val="Spreadsheet"/>
              <w:keepNext/>
            </w:pPr>
            <w:r w:rsidRPr="009E7178">
              <w:t>Distribution Date</w:t>
            </w:r>
          </w:p>
        </w:tc>
      </w:tr>
      <w:tr w:rsidR="00B6764C" w:rsidRPr="009E7178" w14:paraId="14C021B5" w14:textId="77777777" w:rsidTr="0095141B">
        <w:trPr>
          <w:trHeight w:val="511"/>
        </w:trPr>
        <w:tc>
          <w:tcPr>
            <w:tcW w:w="0" w:type="auto"/>
            <w:vAlign w:val="center"/>
          </w:tcPr>
          <w:p w14:paraId="2620AE26" w14:textId="0DB487C5" w:rsidR="00AF757A" w:rsidRPr="009E7178" w:rsidRDefault="00AF757A" w:rsidP="009A2B07">
            <w:pPr>
              <w:pStyle w:val="Versioncontrollist"/>
              <w:jc w:val="center"/>
            </w:pPr>
          </w:p>
        </w:tc>
        <w:tc>
          <w:tcPr>
            <w:tcW w:w="0" w:type="auto"/>
            <w:vAlign w:val="center"/>
          </w:tcPr>
          <w:p w14:paraId="4EC5AC10" w14:textId="77777777" w:rsidR="00AF757A" w:rsidRPr="009E7178" w:rsidRDefault="00AF757A" w:rsidP="009A2B07">
            <w:pPr>
              <w:pStyle w:val="Spreadsheet"/>
              <w:keepNext/>
            </w:pPr>
            <w:r w:rsidRPr="009E7178">
              <w:t>11.12.2018</w:t>
            </w:r>
          </w:p>
        </w:tc>
        <w:tc>
          <w:tcPr>
            <w:tcW w:w="0" w:type="auto"/>
            <w:vAlign w:val="center"/>
          </w:tcPr>
          <w:p w14:paraId="1066CDDD" w14:textId="77777777" w:rsidR="00AF757A" w:rsidRPr="009E7178" w:rsidRDefault="00AF757A" w:rsidP="009A2B07">
            <w:pPr>
              <w:pStyle w:val="Spreadsheet"/>
              <w:keepNext/>
            </w:pPr>
            <w:r w:rsidRPr="009E7178">
              <w:t>Created as a separate policy</w:t>
            </w:r>
          </w:p>
        </w:tc>
        <w:tc>
          <w:tcPr>
            <w:tcW w:w="0" w:type="auto"/>
            <w:vAlign w:val="center"/>
          </w:tcPr>
          <w:p w14:paraId="52F447EA" w14:textId="77777777" w:rsidR="00AF757A" w:rsidRPr="009E7178" w:rsidRDefault="00AF757A" w:rsidP="009A2B07">
            <w:pPr>
              <w:pStyle w:val="Spreadsheet"/>
              <w:keepNext/>
            </w:pPr>
            <w:r w:rsidRPr="009E7178">
              <w:t>AMLCO, MiFID Compliance Officer, Legal Counsel</w:t>
            </w:r>
          </w:p>
        </w:tc>
        <w:tc>
          <w:tcPr>
            <w:tcW w:w="0" w:type="auto"/>
            <w:vAlign w:val="center"/>
          </w:tcPr>
          <w:p w14:paraId="0077B16E" w14:textId="77777777" w:rsidR="00AF757A" w:rsidRPr="009E7178" w:rsidRDefault="00AF757A" w:rsidP="009A2B07">
            <w:pPr>
              <w:pStyle w:val="Spreadsheet"/>
              <w:keepNext/>
            </w:pPr>
            <w:r w:rsidRPr="009E7178">
              <w:t>Board of Directors</w:t>
            </w:r>
          </w:p>
        </w:tc>
        <w:tc>
          <w:tcPr>
            <w:tcW w:w="0" w:type="auto"/>
            <w:vAlign w:val="center"/>
          </w:tcPr>
          <w:p w14:paraId="0ADE7F23" w14:textId="1596B0AB" w:rsidR="00AF757A" w:rsidRPr="009E7178" w:rsidRDefault="00A90999" w:rsidP="009A2B07">
            <w:pPr>
              <w:pStyle w:val="Spreadsheet"/>
              <w:keepNext/>
            </w:pPr>
            <w:r w:rsidRPr="009E7178">
              <w:t>11.12.2018</w:t>
            </w:r>
          </w:p>
        </w:tc>
      </w:tr>
      <w:tr w:rsidR="00B6764C" w:rsidRPr="009E7178" w14:paraId="52C3DA59" w14:textId="77777777" w:rsidTr="0095141B">
        <w:trPr>
          <w:trHeight w:val="511"/>
        </w:trPr>
        <w:tc>
          <w:tcPr>
            <w:tcW w:w="0" w:type="auto"/>
            <w:vAlign w:val="center"/>
          </w:tcPr>
          <w:p w14:paraId="29D9E061" w14:textId="61C945FD" w:rsidR="00AF757A" w:rsidRPr="009E7178" w:rsidRDefault="00AF757A" w:rsidP="0095141B">
            <w:pPr>
              <w:pStyle w:val="Versioncontrollist"/>
              <w:jc w:val="center"/>
            </w:pPr>
          </w:p>
        </w:tc>
        <w:tc>
          <w:tcPr>
            <w:tcW w:w="0" w:type="auto"/>
            <w:vAlign w:val="center"/>
          </w:tcPr>
          <w:p w14:paraId="2681AD3D" w14:textId="30A1BCF1" w:rsidR="00AF757A" w:rsidRPr="009E7178" w:rsidRDefault="00E4636A" w:rsidP="00BB64BA">
            <w:pPr>
              <w:pStyle w:val="Spreadsheet"/>
            </w:pPr>
            <w:r>
              <w:t>30</w:t>
            </w:r>
            <w:r w:rsidR="00A90999" w:rsidRPr="009E7178">
              <w:t>.</w:t>
            </w:r>
            <w:r w:rsidR="00225750" w:rsidRPr="009E7178">
              <w:t>0</w:t>
            </w:r>
            <w:r w:rsidR="00BB64BA">
              <w:t>6</w:t>
            </w:r>
            <w:r w:rsidR="00A90999" w:rsidRPr="009E7178">
              <w:t>.202</w:t>
            </w:r>
            <w:r w:rsidR="00C9244C" w:rsidRPr="009E7178">
              <w:t>3</w:t>
            </w:r>
          </w:p>
        </w:tc>
        <w:tc>
          <w:tcPr>
            <w:tcW w:w="0" w:type="auto"/>
            <w:vAlign w:val="center"/>
          </w:tcPr>
          <w:p w14:paraId="57DFBDA3" w14:textId="77777777" w:rsidR="00AF757A" w:rsidRPr="009E7178" w:rsidRDefault="00AF757A" w:rsidP="0095141B">
            <w:pPr>
              <w:pStyle w:val="Spreadsheet"/>
            </w:pPr>
            <w:r w:rsidRPr="009E7178">
              <w:t>Updated to improve policy and procedures</w:t>
            </w:r>
          </w:p>
        </w:tc>
        <w:tc>
          <w:tcPr>
            <w:tcW w:w="0" w:type="auto"/>
            <w:vAlign w:val="center"/>
          </w:tcPr>
          <w:p w14:paraId="3D7AE873" w14:textId="77777777" w:rsidR="00AF757A" w:rsidRPr="009E7178" w:rsidRDefault="00AF757A" w:rsidP="0095141B">
            <w:pPr>
              <w:pStyle w:val="Spreadsheet"/>
            </w:pPr>
            <w:r w:rsidRPr="009E7178">
              <w:t>AMLCO, MiFID Compliance Officer, Head of Legal Department</w:t>
            </w:r>
          </w:p>
        </w:tc>
        <w:tc>
          <w:tcPr>
            <w:tcW w:w="0" w:type="auto"/>
            <w:vAlign w:val="center"/>
          </w:tcPr>
          <w:p w14:paraId="2F3457D9" w14:textId="77777777" w:rsidR="00AF757A" w:rsidRPr="009E7178" w:rsidRDefault="00AF757A" w:rsidP="0095141B">
            <w:pPr>
              <w:pStyle w:val="Spreadsheet"/>
            </w:pPr>
            <w:r w:rsidRPr="009E7178">
              <w:t>Board of Directors</w:t>
            </w:r>
          </w:p>
        </w:tc>
        <w:tc>
          <w:tcPr>
            <w:tcW w:w="0" w:type="auto"/>
            <w:vAlign w:val="center"/>
          </w:tcPr>
          <w:p w14:paraId="061AF208" w14:textId="2FC053C2" w:rsidR="00AF757A" w:rsidRPr="009E7178" w:rsidRDefault="00E4636A" w:rsidP="00BB64BA">
            <w:pPr>
              <w:pStyle w:val="Spreadsheet"/>
            </w:pPr>
            <w:r>
              <w:t>30</w:t>
            </w:r>
            <w:r w:rsidR="00AF757A" w:rsidRPr="009E7178">
              <w:t>.</w:t>
            </w:r>
            <w:r w:rsidR="00BB64BA">
              <w:t>06</w:t>
            </w:r>
            <w:r w:rsidR="00AF757A" w:rsidRPr="009E7178">
              <w:t>.202</w:t>
            </w:r>
            <w:r w:rsidR="00C9244C" w:rsidRPr="009E7178">
              <w:t>3</w:t>
            </w:r>
          </w:p>
        </w:tc>
      </w:tr>
    </w:tbl>
    <w:p w14:paraId="5B9A0BAC" w14:textId="68E953B0" w:rsidR="00AF757A" w:rsidRPr="009E7178" w:rsidRDefault="00AF757A" w:rsidP="00AC13C4">
      <w:pPr>
        <w:pStyle w:val="2"/>
      </w:pPr>
      <w:r w:rsidRPr="009E7178">
        <w:lastRenderedPageBreak/>
        <w:t>Table of Contents</w:t>
      </w:r>
    </w:p>
    <w:sdt>
      <w:sdtPr>
        <w:rPr>
          <w:rFonts w:cs="Times New Roman"/>
        </w:rPr>
        <w:id w:val="1882047891"/>
        <w:docPartObj>
          <w:docPartGallery w:val="Table of Contents"/>
          <w:docPartUnique/>
        </w:docPartObj>
      </w:sdtPr>
      <w:sdtEndPr>
        <w:rPr>
          <w:rFonts w:cstheme="minorBidi"/>
          <w:b/>
        </w:rPr>
      </w:sdtEndPr>
      <w:sdtContent>
        <w:p w14:paraId="587CC83A" w14:textId="77777777" w:rsidR="000E7C0F" w:rsidRDefault="00AC13C4">
          <w:pPr>
            <w:pStyle w:val="TOC1"/>
            <w:rPr>
              <w:rFonts w:asciiTheme="minorHAnsi" w:eastAsiaTheme="minorEastAsia" w:hAnsiTheme="minorHAnsi"/>
              <w:noProof/>
              <w:lang w:eastAsia="en-GB"/>
            </w:rPr>
          </w:pPr>
          <w:r w:rsidRPr="009E7178">
            <w:rPr>
              <w:rFonts w:cs="Times New Roman"/>
              <w:b/>
              <w:bCs/>
            </w:rPr>
            <w:fldChar w:fldCharType="begin"/>
          </w:r>
          <w:r w:rsidRPr="009E7178">
            <w:rPr>
              <w:rFonts w:cs="Times New Roman"/>
              <w:b/>
              <w:bCs/>
            </w:rPr>
            <w:instrText xml:space="preserve"> TOC \o "1-3" \h \z \u </w:instrText>
          </w:r>
          <w:r w:rsidRPr="009E7178">
            <w:rPr>
              <w:rFonts w:cs="Times New Roman"/>
              <w:b/>
              <w:bCs/>
            </w:rPr>
            <w:fldChar w:fldCharType="separate"/>
          </w:r>
          <w:hyperlink w:anchor="_Toc137207283" w:history="1">
            <w:r w:rsidR="000E7C0F" w:rsidRPr="00E6289E">
              <w:rPr>
                <w:rStyle w:val="Hyperlink"/>
                <w:rFonts w:eastAsia="Cambria"/>
                <w:noProof/>
              </w:rPr>
              <w:t>1.</w:t>
            </w:r>
            <w:r w:rsidR="000E7C0F">
              <w:rPr>
                <w:rFonts w:asciiTheme="minorHAnsi" w:eastAsiaTheme="minorEastAsia" w:hAnsiTheme="minorHAnsi"/>
                <w:noProof/>
                <w:lang w:eastAsia="en-GB"/>
              </w:rPr>
              <w:tab/>
            </w:r>
            <w:r w:rsidR="000E7C0F" w:rsidRPr="00E6289E">
              <w:rPr>
                <w:rStyle w:val="Hyperlink"/>
                <w:noProof/>
              </w:rPr>
              <w:t xml:space="preserve">Definitions </w:t>
            </w:r>
            <w:r w:rsidR="000E7C0F" w:rsidRPr="00E6289E">
              <w:rPr>
                <w:rStyle w:val="Hyperlink"/>
                <w:rFonts w:eastAsia="Cambria"/>
                <w:noProof/>
              </w:rPr>
              <w:t>and Interpretation</w:t>
            </w:r>
            <w:r w:rsidR="000E7C0F">
              <w:rPr>
                <w:noProof/>
                <w:webHidden/>
              </w:rPr>
              <w:tab/>
            </w:r>
            <w:r w:rsidR="000E7C0F">
              <w:rPr>
                <w:noProof/>
                <w:webHidden/>
              </w:rPr>
              <w:fldChar w:fldCharType="begin"/>
            </w:r>
            <w:r w:rsidR="000E7C0F">
              <w:rPr>
                <w:noProof/>
                <w:webHidden/>
              </w:rPr>
              <w:instrText xml:space="preserve"> PAGEREF _Toc137207283 \h </w:instrText>
            </w:r>
            <w:r w:rsidR="000E7C0F">
              <w:rPr>
                <w:noProof/>
                <w:webHidden/>
              </w:rPr>
            </w:r>
            <w:r w:rsidR="000E7C0F">
              <w:rPr>
                <w:noProof/>
                <w:webHidden/>
              </w:rPr>
              <w:fldChar w:fldCharType="separate"/>
            </w:r>
            <w:r w:rsidR="000E7C0F">
              <w:rPr>
                <w:noProof/>
                <w:webHidden/>
              </w:rPr>
              <w:t>3</w:t>
            </w:r>
            <w:r w:rsidR="000E7C0F">
              <w:rPr>
                <w:noProof/>
                <w:webHidden/>
              </w:rPr>
              <w:fldChar w:fldCharType="end"/>
            </w:r>
          </w:hyperlink>
        </w:p>
        <w:p w14:paraId="461A4DCF" w14:textId="77777777" w:rsidR="000E7C0F" w:rsidRDefault="00A06137">
          <w:pPr>
            <w:pStyle w:val="TOC1"/>
            <w:rPr>
              <w:rFonts w:asciiTheme="minorHAnsi" w:eastAsiaTheme="minorEastAsia" w:hAnsiTheme="minorHAnsi"/>
              <w:noProof/>
              <w:lang w:eastAsia="en-GB"/>
            </w:rPr>
          </w:pPr>
          <w:hyperlink w:anchor="_Toc137207284" w:history="1">
            <w:r w:rsidR="000E7C0F" w:rsidRPr="00E6289E">
              <w:rPr>
                <w:rStyle w:val="Hyperlink"/>
                <w:noProof/>
              </w:rPr>
              <w:t>2.</w:t>
            </w:r>
            <w:r w:rsidR="000E7C0F">
              <w:rPr>
                <w:rFonts w:asciiTheme="minorHAnsi" w:eastAsiaTheme="minorEastAsia" w:hAnsiTheme="minorHAnsi"/>
                <w:noProof/>
                <w:lang w:eastAsia="en-GB"/>
              </w:rPr>
              <w:tab/>
            </w:r>
            <w:r w:rsidR="000E7C0F" w:rsidRPr="00E6289E">
              <w:rPr>
                <w:rStyle w:val="Hyperlink"/>
                <w:noProof/>
              </w:rPr>
              <w:t>Scope and Purpose of this Policy</w:t>
            </w:r>
            <w:r w:rsidR="000E7C0F">
              <w:rPr>
                <w:noProof/>
                <w:webHidden/>
              </w:rPr>
              <w:tab/>
            </w:r>
            <w:r w:rsidR="000E7C0F">
              <w:rPr>
                <w:noProof/>
                <w:webHidden/>
              </w:rPr>
              <w:fldChar w:fldCharType="begin"/>
            </w:r>
            <w:r w:rsidR="000E7C0F">
              <w:rPr>
                <w:noProof/>
                <w:webHidden/>
              </w:rPr>
              <w:instrText xml:space="preserve"> PAGEREF _Toc137207284 \h </w:instrText>
            </w:r>
            <w:r w:rsidR="000E7C0F">
              <w:rPr>
                <w:noProof/>
                <w:webHidden/>
              </w:rPr>
            </w:r>
            <w:r w:rsidR="000E7C0F">
              <w:rPr>
                <w:noProof/>
                <w:webHidden/>
              </w:rPr>
              <w:fldChar w:fldCharType="separate"/>
            </w:r>
            <w:r w:rsidR="000E7C0F">
              <w:rPr>
                <w:noProof/>
                <w:webHidden/>
              </w:rPr>
              <w:t>5</w:t>
            </w:r>
            <w:r w:rsidR="000E7C0F">
              <w:rPr>
                <w:noProof/>
                <w:webHidden/>
              </w:rPr>
              <w:fldChar w:fldCharType="end"/>
            </w:r>
          </w:hyperlink>
        </w:p>
        <w:p w14:paraId="7A27D7E3" w14:textId="77777777" w:rsidR="000E7C0F" w:rsidRDefault="00A06137">
          <w:pPr>
            <w:pStyle w:val="TOC1"/>
            <w:rPr>
              <w:rFonts w:asciiTheme="minorHAnsi" w:eastAsiaTheme="minorEastAsia" w:hAnsiTheme="minorHAnsi"/>
              <w:noProof/>
              <w:lang w:eastAsia="en-GB"/>
            </w:rPr>
          </w:pPr>
          <w:hyperlink w:anchor="_Toc137207285" w:history="1">
            <w:r w:rsidR="000E7C0F" w:rsidRPr="00E6289E">
              <w:rPr>
                <w:rStyle w:val="Hyperlink"/>
                <w:noProof/>
              </w:rPr>
              <w:t>3.</w:t>
            </w:r>
            <w:r w:rsidR="000E7C0F">
              <w:rPr>
                <w:rFonts w:asciiTheme="minorHAnsi" w:eastAsiaTheme="minorEastAsia" w:hAnsiTheme="minorHAnsi"/>
                <w:noProof/>
                <w:lang w:eastAsia="en-GB"/>
              </w:rPr>
              <w:tab/>
            </w:r>
            <w:r w:rsidR="000E7C0F" w:rsidRPr="00E6289E">
              <w:rPr>
                <w:rStyle w:val="Hyperlink"/>
                <w:noProof/>
              </w:rPr>
              <w:t>Legal Framework</w:t>
            </w:r>
            <w:r w:rsidR="000E7C0F">
              <w:rPr>
                <w:noProof/>
                <w:webHidden/>
              </w:rPr>
              <w:tab/>
            </w:r>
            <w:r w:rsidR="000E7C0F">
              <w:rPr>
                <w:noProof/>
                <w:webHidden/>
              </w:rPr>
              <w:fldChar w:fldCharType="begin"/>
            </w:r>
            <w:r w:rsidR="000E7C0F">
              <w:rPr>
                <w:noProof/>
                <w:webHidden/>
              </w:rPr>
              <w:instrText xml:space="preserve"> PAGEREF _Toc137207285 \h </w:instrText>
            </w:r>
            <w:r w:rsidR="000E7C0F">
              <w:rPr>
                <w:noProof/>
                <w:webHidden/>
              </w:rPr>
            </w:r>
            <w:r w:rsidR="000E7C0F">
              <w:rPr>
                <w:noProof/>
                <w:webHidden/>
              </w:rPr>
              <w:fldChar w:fldCharType="separate"/>
            </w:r>
            <w:r w:rsidR="000E7C0F">
              <w:rPr>
                <w:noProof/>
                <w:webHidden/>
              </w:rPr>
              <w:t>6</w:t>
            </w:r>
            <w:r w:rsidR="000E7C0F">
              <w:rPr>
                <w:noProof/>
                <w:webHidden/>
              </w:rPr>
              <w:fldChar w:fldCharType="end"/>
            </w:r>
          </w:hyperlink>
        </w:p>
        <w:p w14:paraId="65920990" w14:textId="77777777" w:rsidR="000E7C0F" w:rsidRDefault="00A06137">
          <w:pPr>
            <w:pStyle w:val="TOC1"/>
            <w:rPr>
              <w:rFonts w:asciiTheme="minorHAnsi" w:eastAsiaTheme="minorEastAsia" w:hAnsiTheme="minorHAnsi"/>
              <w:noProof/>
              <w:lang w:eastAsia="en-GB"/>
            </w:rPr>
          </w:pPr>
          <w:hyperlink w:anchor="_Toc137207286" w:history="1">
            <w:r w:rsidR="000E7C0F" w:rsidRPr="00E6289E">
              <w:rPr>
                <w:rStyle w:val="Hyperlink"/>
                <w:noProof/>
              </w:rPr>
              <w:t>4.</w:t>
            </w:r>
            <w:r w:rsidR="000E7C0F">
              <w:rPr>
                <w:rFonts w:asciiTheme="minorHAnsi" w:eastAsiaTheme="minorEastAsia" w:hAnsiTheme="minorHAnsi"/>
                <w:noProof/>
                <w:lang w:eastAsia="en-GB"/>
              </w:rPr>
              <w:tab/>
            </w:r>
            <w:r w:rsidR="000E7C0F" w:rsidRPr="00E6289E">
              <w:rPr>
                <w:rStyle w:val="Hyperlink"/>
                <w:noProof/>
              </w:rPr>
              <w:t>General Requirements</w:t>
            </w:r>
            <w:r w:rsidR="000E7C0F">
              <w:rPr>
                <w:noProof/>
                <w:webHidden/>
              </w:rPr>
              <w:tab/>
            </w:r>
            <w:r w:rsidR="000E7C0F">
              <w:rPr>
                <w:noProof/>
                <w:webHidden/>
              </w:rPr>
              <w:fldChar w:fldCharType="begin"/>
            </w:r>
            <w:r w:rsidR="000E7C0F">
              <w:rPr>
                <w:noProof/>
                <w:webHidden/>
              </w:rPr>
              <w:instrText xml:space="preserve"> PAGEREF _Toc137207286 \h </w:instrText>
            </w:r>
            <w:r w:rsidR="000E7C0F">
              <w:rPr>
                <w:noProof/>
                <w:webHidden/>
              </w:rPr>
            </w:r>
            <w:r w:rsidR="000E7C0F">
              <w:rPr>
                <w:noProof/>
                <w:webHidden/>
              </w:rPr>
              <w:fldChar w:fldCharType="separate"/>
            </w:r>
            <w:r w:rsidR="000E7C0F">
              <w:rPr>
                <w:noProof/>
                <w:webHidden/>
              </w:rPr>
              <w:t>6</w:t>
            </w:r>
            <w:r w:rsidR="000E7C0F">
              <w:rPr>
                <w:noProof/>
                <w:webHidden/>
              </w:rPr>
              <w:fldChar w:fldCharType="end"/>
            </w:r>
          </w:hyperlink>
        </w:p>
        <w:p w14:paraId="2E85BAF2" w14:textId="77777777" w:rsidR="000E7C0F" w:rsidRDefault="00A06137">
          <w:pPr>
            <w:pStyle w:val="TOC1"/>
            <w:rPr>
              <w:rFonts w:asciiTheme="minorHAnsi" w:eastAsiaTheme="minorEastAsia" w:hAnsiTheme="minorHAnsi"/>
              <w:noProof/>
              <w:lang w:eastAsia="en-GB"/>
            </w:rPr>
          </w:pPr>
          <w:hyperlink w:anchor="_Toc137207287" w:history="1">
            <w:r w:rsidR="000E7C0F" w:rsidRPr="00E6289E">
              <w:rPr>
                <w:rStyle w:val="Hyperlink"/>
                <w:noProof/>
              </w:rPr>
              <w:t>5.</w:t>
            </w:r>
            <w:r w:rsidR="000E7C0F">
              <w:rPr>
                <w:rFonts w:asciiTheme="minorHAnsi" w:eastAsiaTheme="minorEastAsia" w:hAnsiTheme="minorHAnsi"/>
                <w:noProof/>
                <w:lang w:eastAsia="en-GB"/>
              </w:rPr>
              <w:tab/>
            </w:r>
            <w:r w:rsidR="000E7C0F" w:rsidRPr="00E6289E">
              <w:rPr>
                <w:rStyle w:val="Hyperlink"/>
                <w:noProof/>
              </w:rPr>
              <w:t>Obtaining information from Manufacturers</w:t>
            </w:r>
            <w:r w:rsidR="000E7C0F">
              <w:rPr>
                <w:noProof/>
                <w:webHidden/>
              </w:rPr>
              <w:tab/>
            </w:r>
            <w:r w:rsidR="000E7C0F">
              <w:rPr>
                <w:noProof/>
                <w:webHidden/>
              </w:rPr>
              <w:fldChar w:fldCharType="begin"/>
            </w:r>
            <w:r w:rsidR="000E7C0F">
              <w:rPr>
                <w:noProof/>
                <w:webHidden/>
              </w:rPr>
              <w:instrText xml:space="preserve"> PAGEREF _Toc137207287 \h </w:instrText>
            </w:r>
            <w:r w:rsidR="000E7C0F">
              <w:rPr>
                <w:noProof/>
                <w:webHidden/>
              </w:rPr>
            </w:r>
            <w:r w:rsidR="000E7C0F">
              <w:rPr>
                <w:noProof/>
                <w:webHidden/>
              </w:rPr>
              <w:fldChar w:fldCharType="separate"/>
            </w:r>
            <w:r w:rsidR="000E7C0F">
              <w:rPr>
                <w:noProof/>
                <w:webHidden/>
              </w:rPr>
              <w:t>7</w:t>
            </w:r>
            <w:r w:rsidR="000E7C0F">
              <w:rPr>
                <w:noProof/>
                <w:webHidden/>
              </w:rPr>
              <w:fldChar w:fldCharType="end"/>
            </w:r>
          </w:hyperlink>
        </w:p>
        <w:p w14:paraId="5B61A363" w14:textId="77777777" w:rsidR="000E7C0F" w:rsidRDefault="00A06137">
          <w:pPr>
            <w:pStyle w:val="TOC1"/>
            <w:rPr>
              <w:rFonts w:asciiTheme="minorHAnsi" w:eastAsiaTheme="minorEastAsia" w:hAnsiTheme="minorHAnsi"/>
              <w:noProof/>
              <w:lang w:eastAsia="en-GB"/>
            </w:rPr>
          </w:pPr>
          <w:hyperlink w:anchor="_Toc137207288" w:history="1">
            <w:r w:rsidR="000E7C0F" w:rsidRPr="00E6289E">
              <w:rPr>
                <w:rStyle w:val="Hyperlink"/>
                <w:noProof/>
              </w:rPr>
              <w:t>6.</w:t>
            </w:r>
            <w:r w:rsidR="000E7C0F">
              <w:rPr>
                <w:rFonts w:asciiTheme="minorHAnsi" w:eastAsiaTheme="minorEastAsia" w:hAnsiTheme="minorHAnsi"/>
                <w:noProof/>
                <w:lang w:eastAsia="en-GB"/>
              </w:rPr>
              <w:tab/>
            </w:r>
            <w:r w:rsidR="000E7C0F" w:rsidRPr="00E6289E">
              <w:rPr>
                <w:rStyle w:val="Hyperlink"/>
                <w:noProof/>
              </w:rPr>
              <w:t>Distributing financial instruments manufactured by non-MiFID II firms</w:t>
            </w:r>
            <w:r w:rsidR="000E7C0F">
              <w:rPr>
                <w:noProof/>
                <w:webHidden/>
              </w:rPr>
              <w:tab/>
            </w:r>
            <w:r w:rsidR="000E7C0F">
              <w:rPr>
                <w:noProof/>
                <w:webHidden/>
              </w:rPr>
              <w:fldChar w:fldCharType="begin"/>
            </w:r>
            <w:r w:rsidR="000E7C0F">
              <w:rPr>
                <w:noProof/>
                <w:webHidden/>
              </w:rPr>
              <w:instrText xml:space="preserve"> PAGEREF _Toc137207288 \h </w:instrText>
            </w:r>
            <w:r w:rsidR="000E7C0F">
              <w:rPr>
                <w:noProof/>
                <w:webHidden/>
              </w:rPr>
            </w:r>
            <w:r w:rsidR="000E7C0F">
              <w:rPr>
                <w:noProof/>
                <w:webHidden/>
              </w:rPr>
              <w:fldChar w:fldCharType="separate"/>
            </w:r>
            <w:r w:rsidR="000E7C0F">
              <w:rPr>
                <w:noProof/>
                <w:webHidden/>
              </w:rPr>
              <w:t>10</w:t>
            </w:r>
            <w:r w:rsidR="000E7C0F">
              <w:rPr>
                <w:noProof/>
                <w:webHidden/>
              </w:rPr>
              <w:fldChar w:fldCharType="end"/>
            </w:r>
          </w:hyperlink>
        </w:p>
        <w:p w14:paraId="4BC60620" w14:textId="77777777" w:rsidR="000E7C0F" w:rsidRDefault="00A06137">
          <w:pPr>
            <w:pStyle w:val="TOC1"/>
            <w:rPr>
              <w:rFonts w:asciiTheme="minorHAnsi" w:eastAsiaTheme="minorEastAsia" w:hAnsiTheme="minorHAnsi"/>
              <w:noProof/>
              <w:lang w:eastAsia="en-GB"/>
            </w:rPr>
          </w:pPr>
          <w:hyperlink w:anchor="_Toc137207289" w:history="1">
            <w:r w:rsidR="000E7C0F" w:rsidRPr="00E6289E">
              <w:rPr>
                <w:rStyle w:val="Hyperlink"/>
                <w:noProof/>
              </w:rPr>
              <w:t>7.</w:t>
            </w:r>
            <w:r w:rsidR="000E7C0F">
              <w:rPr>
                <w:rFonts w:asciiTheme="minorHAnsi" w:eastAsiaTheme="minorEastAsia" w:hAnsiTheme="minorHAnsi"/>
                <w:noProof/>
                <w:lang w:eastAsia="en-GB"/>
              </w:rPr>
              <w:tab/>
            </w:r>
            <w:r w:rsidR="000E7C0F" w:rsidRPr="00E6289E">
              <w:rPr>
                <w:rStyle w:val="Hyperlink"/>
                <w:noProof/>
              </w:rPr>
              <w:t>Target market and distribution strategy</w:t>
            </w:r>
            <w:r w:rsidR="000E7C0F">
              <w:rPr>
                <w:noProof/>
                <w:webHidden/>
              </w:rPr>
              <w:tab/>
            </w:r>
            <w:r w:rsidR="000E7C0F">
              <w:rPr>
                <w:noProof/>
                <w:webHidden/>
              </w:rPr>
              <w:fldChar w:fldCharType="begin"/>
            </w:r>
            <w:r w:rsidR="000E7C0F">
              <w:rPr>
                <w:noProof/>
                <w:webHidden/>
              </w:rPr>
              <w:instrText xml:space="preserve"> PAGEREF _Toc137207289 \h </w:instrText>
            </w:r>
            <w:r w:rsidR="000E7C0F">
              <w:rPr>
                <w:noProof/>
                <w:webHidden/>
              </w:rPr>
            </w:r>
            <w:r w:rsidR="000E7C0F">
              <w:rPr>
                <w:noProof/>
                <w:webHidden/>
              </w:rPr>
              <w:fldChar w:fldCharType="separate"/>
            </w:r>
            <w:r w:rsidR="000E7C0F">
              <w:rPr>
                <w:noProof/>
                <w:webHidden/>
              </w:rPr>
              <w:t>12</w:t>
            </w:r>
            <w:r w:rsidR="000E7C0F">
              <w:rPr>
                <w:noProof/>
                <w:webHidden/>
              </w:rPr>
              <w:fldChar w:fldCharType="end"/>
            </w:r>
          </w:hyperlink>
        </w:p>
        <w:p w14:paraId="06E5C874" w14:textId="77777777" w:rsidR="000E7C0F" w:rsidRDefault="00A06137">
          <w:pPr>
            <w:pStyle w:val="TOC1"/>
            <w:rPr>
              <w:rFonts w:asciiTheme="minorHAnsi" w:eastAsiaTheme="minorEastAsia" w:hAnsiTheme="minorHAnsi"/>
              <w:noProof/>
              <w:lang w:eastAsia="en-GB"/>
            </w:rPr>
          </w:pPr>
          <w:hyperlink w:anchor="_Toc137207290" w:history="1">
            <w:r w:rsidR="000E7C0F" w:rsidRPr="00E6289E">
              <w:rPr>
                <w:rStyle w:val="Hyperlink"/>
                <w:noProof/>
              </w:rPr>
              <w:t>8.</w:t>
            </w:r>
            <w:r w:rsidR="000E7C0F">
              <w:rPr>
                <w:rFonts w:asciiTheme="minorHAnsi" w:eastAsiaTheme="minorEastAsia" w:hAnsiTheme="minorHAnsi"/>
                <w:noProof/>
                <w:lang w:eastAsia="en-GB"/>
              </w:rPr>
              <w:tab/>
            </w:r>
            <w:r w:rsidR="000E7C0F" w:rsidRPr="00E6289E">
              <w:rPr>
                <w:rStyle w:val="Hyperlink"/>
                <w:noProof/>
              </w:rPr>
              <w:t>Product Governance Committee</w:t>
            </w:r>
            <w:r w:rsidR="000E7C0F">
              <w:rPr>
                <w:noProof/>
                <w:webHidden/>
              </w:rPr>
              <w:tab/>
            </w:r>
            <w:r w:rsidR="000E7C0F">
              <w:rPr>
                <w:noProof/>
                <w:webHidden/>
              </w:rPr>
              <w:fldChar w:fldCharType="begin"/>
            </w:r>
            <w:r w:rsidR="000E7C0F">
              <w:rPr>
                <w:noProof/>
                <w:webHidden/>
              </w:rPr>
              <w:instrText xml:space="preserve"> PAGEREF _Toc137207290 \h </w:instrText>
            </w:r>
            <w:r w:rsidR="000E7C0F">
              <w:rPr>
                <w:noProof/>
                <w:webHidden/>
              </w:rPr>
            </w:r>
            <w:r w:rsidR="000E7C0F">
              <w:rPr>
                <w:noProof/>
                <w:webHidden/>
              </w:rPr>
              <w:fldChar w:fldCharType="separate"/>
            </w:r>
            <w:r w:rsidR="000E7C0F">
              <w:rPr>
                <w:noProof/>
                <w:webHidden/>
              </w:rPr>
              <w:t>15</w:t>
            </w:r>
            <w:r w:rsidR="000E7C0F">
              <w:rPr>
                <w:noProof/>
                <w:webHidden/>
              </w:rPr>
              <w:fldChar w:fldCharType="end"/>
            </w:r>
          </w:hyperlink>
        </w:p>
        <w:p w14:paraId="3847C0EA" w14:textId="77777777" w:rsidR="000E7C0F" w:rsidRDefault="00A06137">
          <w:pPr>
            <w:pStyle w:val="TOC1"/>
            <w:rPr>
              <w:rFonts w:asciiTheme="minorHAnsi" w:eastAsiaTheme="minorEastAsia" w:hAnsiTheme="minorHAnsi"/>
              <w:noProof/>
              <w:lang w:eastAsia="en-GB"/>
            </w:rPr>
          </w:pPr>
          <w:hyperlink w:anchor="_Toc137207291" w:history="1">
            <w:r w:rsidR="000E7C0F" w:rsidRPr="00E6289E">
              <w:rPr>
                <w:rStyle w:val="Hyperlink"/>
                <w:noProof/>
              </w:rPr>
              <w:t>9.</w:t>
            </w:r>
            <w:r w:rsidR="000E7C0F">
              <w:rPr>
                <w:rFonts w:asciiTheme="minorHAnsi" w:eastAsiaTheme="minorEastAsia" w:hAnsiTheme="minorHAnsi"/>
                <w:noProof/>
                <w:lang w:eastAsia="en-GB"/>
              </w:rPr>
              <w:tab/>
            </w:r>
            <w:r w:rsidR="000E7C0F" w:rsidRPr="00E6289E">
              <w:rPr>
                <w:rStyle w:val="Hyperlink"/>
                <w:noProof/>
              </w:rPr>
              <w:t>Assessment of target market – procedures</w:t>
            </w:r>
            <w:r w:rsidR="000E7C0F">
              <w:rPr>
                <w:noProof/>
                <w:webHidden/>
              </w:rPr>
              <w:tab/>
            </w:r>
            <w:r w:rsidR="000E7C0F">
              <w:rPr>
                <w:noProof/>
                <w:webHidden/>
              </w:rPr>
              <w:fldChar w:fldCharType="begin"/>
            </w:r>
            <w:r w:rsidR="000E7C0F">
              <w:rPr>
                <w:noProof/>
                <w:webHidden/>
              </w:rPr>
              <w:instrText xml:space="preserve"> PAGEREF _Toc137207291 \h </w:instrText>
            </w:r>
            <w:r w:rsidR="000E7C0F">
              <w:rPr>
                <w:noProof/>
                <w:webHidden/>
              </w:rPr>
            </w:r>
            <w:r w:rsidR="000E7C0F">
              <w:rPr>
                <w:noProof/>
                <w:webHidden/>
              </w:rPr>
              <w:fldChar w:fldCharType="separate"/>
            </w:r>
            <w:r w:rsidR="000E7C0F">
              <w:rPr>
                <w:noProof/>
                <w:webHidden/>
              </w:rPr>
              <w:t>17</w:t>
            </w:r>
            <w:r w:rsidR="000E7C0F">
              <w:rPr>
                <w:noProof/>
                <w:webHidden/>
              </w:rPr>
              <w:fldChar w:fldCharType="end"/>
            </w:r>
          </w:hyperlink>
        </w:p>
        <w:p w14:paraId="33C0A262" w14:textId="77777777" w:rsidR="000E7C0F" w:rsidRDefault="00A06137">
          <w:pPr>
            <w:pStyle w:val="TOC1"/>
            <w:rPr>
              <w:rFonts w:asciiTheme="minorHAnsi" w:eastAsiaTheme="minorEastAsia" w:hAnsiTheme="minorHAnsi"/>
              <w:noProof/>
              <w:lang w:eastAsia="en-GB"/>
            </w:rPr>
          </w:pPr>
          <w:hyperlink w:anchor="_Toc137207292" w:history="1">
            <w:r w:rsidR="000E7C0F" w:rsidRPr="00E6289E">
              <w:rPr>
                <w:rStyle w:val="Hyperlink"/>
                <w:noProof/>
              </w:rPr>
              <w:t>10.</w:t>
            </w:r>
            <w:r w:rsidR="000E7C0F">
              <w:rPr>
                <w:rFonts w:asciiTheme="minorHAnsi" w:eastAsiaTheme="minorEastAsia" w:hAnsiTheme="minorHAnsi"/>
                <w:noProof/>
                <w:lang w:eastAsia="en-GB"/>
              </w:rPr>
              <w:tab/>
            </w:r>
            <w:r w:rsidR="000E7C0F" w:rsidRPr="00E6289E">
              <w:rPr>
                <w:rStyle w:val="Hyperlink"/>
                <w:noProof/>
              </w:rPr>
              <w:t>Sales outside target markets</w:t>
            </w:r>
            <w:r w:rsidR="000E7C0F">
              <w:rPr>
                <w:noProof/>
                <w:webHidden/>
              </w:rPr>
              <w:tab/>
            </w:r>
            <w:r w:rsidR="000E7C0F">
              <w:rPr>
                <w:noProof/>
                <w:webHidden/>
              </w:rPr>
              <w:fldChar w:fldCharType="begin"/>
            </w:r>
            <w:r w:rsidR="000E7C0F">
              <w:rPr>
                <w:noProof/>
                <w:webHidden/>
              </w:rPr>
              <w:instrText xml:space="preserve"> PAGEREF _Toc137207292 \h </w:instrText>
            </w:r>
            <w:r w:rsidR="000E7C0F">
              <w:rPr>
                <w:noProof/>
                <w:webHidden/>
              </w:rPr>
            </w:r>
            <w:r w:rsidR="000E7C0F">
              <w:rPr>
                <w:noProof/>
                <w:webHidden/>
              </w:rPr>
              <w:fldChar w:fldCharType="separate"/>
            </w:r>
            <w:r w:rsidR="000E7C0F">
              <w:rPr>
                <w:noProof/>
                <w:webHidden/>
              </w:rPr>
              <w:t>18</w:t>
            </w:r>
            <w:r w:rsidR="000E7C0F">
              <w:rPr>
                <w:noProof/>
                <w:webHidden/>
              </w:rPr>
              <w:fldChar w:fldCharType="end"/>
            </w:r>
          </w:hyperlink>
        </w:p>
        <w:p w14:paraId="0022471F" w14:textId="77777777" w:rsidR="000E7C0F" w:rsidRDefault="00A06137">
          <w:pPr>
            <w:pStyle w:val="TOC1"/>
            <w:rPr>
              <w:rFonts w:asciiTheme="minorHAnsi" w:eastAsiaTheme="minorEastAsia" w:hAnsiTheme="minorHAnsi"/>
              <w:noProof/>
              <w:lang w:eastAsia="en-GB"/>
            </w:rPr>
          </w:pPr>
          <w:hyperlink w:anchor="_Toc137207293" w:history="1">
            <w:r w:rsidR="000E7C0F" w:rsidRPr="00E6289E">
              <w:rPr>
                <w:rStyle w:val="Hyperlink"/>
                <w:bCs/>
                <w:noProof/>
              </w:rPr>
              <w:t>11.</w:t>
            </w:r>
            <w:r w:rsidR="000E7C0F">
              <w:rPr>
                <w:rFonts w:asciiTheme="minorHAnsi" w:eastAsiaTheme="minorEastAsia" w:hAnsiTheme="minorHAnsi"/>
                <w:noProof/>
                <w:lang w:eastAsia="en-GB"/>
              </w:rPr>
              <w:tab/>
            </w:r>
            <w:r w:rsidR="000E7C0F" w:rsidRPr="00E6289E">
              <w:rPr>
                <w:rStyle w:val="Hyperlink"/>
                <w:noProof/>
              </w:rPr>
              <w:t>Distribution</w:t>
            </w:r>
            <w:r w:rsidR="000E7C0F" w:rsidRPr="00E6289E">
              <w:rPr>
                <w:rStyle w:val="Hyperlink"/>
                <w:bCs/>
                <w:noProof/>
              </w:rPr>
              <w:t xml:space="preserve"> Strategy</w:t>
            </w:r>
            <w:r w:rsidR="000E7C0F">
              <w:rPr>
                <w:noProof/>
                <w:webHidden/>
              </w:rPr>
              <w:tab/>
            </w:r>
            <w:r w:rsidR="000E7C0F">
              <w:rPr>
                <w:noProof/>
                <w:webHidden/>
              </w:rPr>
              <w:fldChar w:fldCharType="begin"/>
            </w:r>
            <w:r w:rsidR="000E7C0F">
              <w:rPr>
                <w:noProof/>
                <w:webHidden/>
              </w:rPr>
              <w:instrText xml:space="preserve"> PAGEREF _Toc137207293 \h </w:instrText>
            </w:r>
            <w:r w:rsidR="000E7C0F">
              <w:rPr>
                <w:noProof/>
                <w:webHidden/>
              </w:rPr>
            </w:r>
            <w:r w:rsidR="000E7C0F">
              <w:rPr>
                <w:noProof/>
                <w:webHidden/>
              </w:rPr>
              <w:fldChar w:fldCharType="separate"/>
            </w:r>
            <w:r w:rsidR="000E7C0F">
              <w:rPr>
                <w:noProof/>
                <w:webHidden/>
              </w:rPr>
              <w:t>19</w:t>
            </w:r>
            <w:r w:rsidR="000E7C0F">
              <w:rPr>
                <w:noProof/>
                <w:webHidden/>
              </w:rPr>
              <w:fldChar w:fldCharType="end"/>
            </w:r>
          </w:hyperlink>
        </w:p>
        <w:p w14:paraId="3E0F289C" w14:textId="77777777" w:rsidR="000E7C0F" w:rsidRDefault="00A06137">
          <w:pPr>
            <w:pStyle w:val="TOC1"/>
            <w:rPr>
              <w:rFonts w:asciiTheme="minorHAnsi" w:eastAsiaTheme="minorEastAsia" w:hAnsiTheme="minorHAnsi"/>
              <w:noProof/>
              <w:lang w:eastAsia="en-GB"/>
            </w:rPr>
          </w:pPr>
          <w:hyperlink w:anchor="_Toc137207294" w:history="1">
            <w:r w:rsidR="000E7C0F" w:rsidRPr="00E6289E">
              <w:rPr>
                <w:rStyle w:val="Hyperlink"/>
                <w:bCs/>
                <w:noProof/>
              </w:rPr>
              <w:t>12.</w:t>
            </w:r>
            <w:r w:rsidR="000E7C0F">
              <w:rPr>
                <w:rFonts w:asciiTheme="minorHAnsi" w:eastAsiaTheme="minorEastAsia" w:hAnsiTheme="minorHAnsi"/>
                <w:noProof/>
                <w:lang w:eastAsia="en-GB"/>
              </w:rPr>
              <w:tab/>
            </w:r>
            <w:r w:rsidR="000E7C0F" w:rsidRPr="00E6289E">
              <w:rPr>
                <w:rStyle w:val="Hyperlink"/>
                <w:bCs/>
                <w:noProof/>
              </w:rPr>
              <w:t xml:space="preserve">Information </w:t>
            </w:r>
            <w:r w:rsidR="000E7C0F" w:rsidRPr="00E6289E">
              <w:rPr>
                <w:rStyle w:val="Hyperlink"/>
                <w:noProof/>
              </w:rPr>
              <w:t>Sharing</w:t>
            </w:r>
            <w:r w:rsidR="000E7C0F">
              <w:rPr>
                <w:noProof/>
                <w:webHidden/>
              </w:rPr>
              <w:tab/>
            </w:r>
            <w:r w:rsidR="000E7C0F">
              <w:rPr>
                <w:noProof/>
                <w:webHidden/>
              </w:rPr>
              <w:fldChar w:fldCharType="begin"/>
            </w:r>
            <w:r w:rsidR="000E7C0F">
              <w:rPr>
                <w:noProof/>
                <w:webHidden/>
              </w:rPr>
              <w:instrText xml:space="preserve"> PAGEREF _Toc137207294 \h </w:instrText>
            </w:r>
            <w:r w:rsidR="000E7C0F">
              <w:rPr>
                <w:noProof/>
                <w:webHidden/>
              </w:rPr>
            </w:r>
            <w:r w:rsidR="000E7C0F">
              <w:rPr>
                <w:noProof/>
                <w:webHidden/>
              </w:rPr>
              <w:fldChar w:fldCharType="separate"/>
            </w:r>
            <w:r w:rsidR="000E7C0F">
              <w:rPr>
                <w:noProof/>
                <w:webHidden/>
              </w:rPr>
              <w:t>19</w:t>
            </w:r>
            <w:r w:rsidR="000E7C0F">
              <w:rPr>
                <w:noProof/>
                <w:webHidden/>
              </w:rPr>
              <w:fldChar w:fldCharType="end"/>
            </w:r>
          </w:hyperlink>
        </w:p>
        <w:p w14:paraId="6695B2ED" w14:textId="77777777" w:rsidR="000E7C0F" w:rsidRDefault="00A06137">
          <w:pPr>
            <w:pStyle w:val="TOC1"/>
            <w:rPr>
              <w:rFonts w:asciiTheme="minorHAnsi" w:eastAsiaTheme="minorEastAsia" w:hAnsiTheme="minorHAnsi"/>
              <w:noProof/>
              <w:lang w:eastAsia="en-GB"/>
            </w:rPr>
          </w:pPr>
          <w:hyperlink w:anchor="_Toc137207295" w:history="1">
            <w:r w:rsidR="000E7C0F" w:rsidRPr="00E6289E">
              <w:rPr>
                <w:rStyle w:val="Hyperlink"/>
                <w:bCs/>
                <w:noProof/>
              </w:rPr>
              <w:t>13.</w:t>
            </w:r>
            <w:r w:rsidR="000E7C0F">
              <w:rPr>
                <w:rFonts w:asciiTheme="minorHAnsi" w:eastAsiaTheme="minorEastAsia" w:hAnsiTheme="minorHAnsi"/>
                <w:noProof/>
                <w:lang w:eastAsia="en-GB"/>
              </w:rPr>
              <w:tab/>
            </w:r>
            <w:r w:rsidR="000E7C0F" w:rsidRPr="00E6289E">
              <w:rPr>
                <w:rStyle w:val="Hyperlink"/>
                <w:bCs/>
                <w:noProof/>
              </w:rPr>
              <w:t xml:space="preserve">Chains of </w:t>
            </w:r>
            <w:r w:rsidR="000E7C0F" w:rsidRPr="00E6289E">
              <w:rPr>
                <w:rStyle w:val="Hyperlink"/>
                <w:noProof/>
              </w:rPr>
              <w:t>Distributors</w:t>
            </w:r>
            <w:r w:rsidR="000E7C0F">
              <w:rPr>
                <w:noProof/>
                <w:webHidden/>
              </w:rPr>
              <w:tab/>
            </w:r>
            <w:r w:rsidR="000E7C0F">
              <w:rPr>
                <w:noProof/>
                <w:webHidden/>
              </w:rPr>
              <w:fldChar w:fldCharType="begin"/>
            </w:r>
            <w:r w:rsidR="000E7C0F">
              <w:rPr>
                <w:noProof/>
                <w:webHidden/>
              </w:rPr>
              <w:instrText xml:space="preserve"> PAGEREF _Toc137207295 \h </w:instrText>
            </w:r>
            <w:r w:rsidR="000E7C0F">
              <w:rPr>
                <w:noProof/>
                <w:webHidden/>
              </w:rPr>
            </w:r>
            <w:r w:rsidR="000E7C0F">
              <w:rPr>
                <w:noProof/>
                <w:webHidden/>
              </w:rPr>
              <w:fldChar w:fldCharType="separate"/>
            </w:r>
            <w:r w:rsidR="000E7C0F">
              <w:rPr>
                <w:noProof/>
                <w:webHidden/>
              </w:rPr>
              <w:t>19</w:t>
            </w:r>
            <w:r w:rsidR="000E7C0F">
              <w:rPr>
                <w:noProof/>
                <w:webHidden/>
              </w:rPr>
              <w:fldChar w:fldCharType="end"/>
            </w:r>
          </w:hyperlink>
        </w:p>
        <w:p w14:paraId="17FE168D" w14:textId="77777777" w:rsidR="000E7C0F" w:rsidRDefault="00A06137">
          <w:pPr>
            <w:pStyle w:val="TOC1"/>
            <w:rPr>
              <w:rFonts w:asciiTheme="minorHAnsi" w:eastAsiaTheme="minorEastAsia" w:hAnsiTheme="minorHAnsi"/>
              <w:noProof/>
              <w:lang w:eastAsia="en-GB"/>
            </w:rPr>
          </w:pPr>
          <w:hyperlink w:anchor="_Toc137207296" w:history="1">
            <w:r w:rsidR="000E7C0F" w:rsidRPr="00E6289E">
              <w:rPr>
                <w:rStyle w:val="Hyperlink"/>
                <w:noProof/>
              </w:rPr>
              <w:t>14.</w:t>
            </w:r>
            <w:r w:rsidR="000E7C0F">
              <w:rPr>
                <w:rFonts w:asciiTheme="minorHAnsi" w:eastAsiaTheme="minorEastAsia" w:hAnsiTheme="minorHAnsi"/>
                <w:noProof/>
                <w:lang w:eastAsia="en-GB"/>
              </w:rPr>
              <w:tab/>
            </w:r>
            <w:r w:rsidR="000E7C0F" w:rsidRPr="00E6289E">
              <w:rPr>
                <w:rStyle w:val="Hyperlink"/>
                <w:noProof/>
              </w:rPr>
              <w:t>Oversight and training requirements</w:t>
            </w:r>
            <w:r w:rsidR="000E7C0F">
              <w:rPr>
                <w:noProof/>
                <w:webHidden/>
              </w:rPr>
              <w:tab/>
            </w:r>
            <w:r w:rsidR="000E7C0F">
              <w:rPr>
                <w:noProof/>
                <w:webHidden/>
              </w:rPr>
              <w:fldChar w:fldCharType="begin"/>
            </w:r>
            <w:r w:rsidR="000E7C0F">
              <w:rPr>
                <w:noProof/>
                <w:webHidden/>
              </w:rPr>
              <w:instrText xml:space="preserve"> PAGEREF _Toc137207296 \h </w:instrText>
            </w:r>
            <w:r w:rsidR="000E7C0F">
              <w:rPr>
                <w:noProof/>
                <w:webHidden/>
              </w:rPr>
            </w:r>
            <w:r w:rsidR="000E7C0F">
              <w:rPr>
                <w:noProof/>
                <w:webHidden/>
              </w:rPr>
              <w:fldChar w:fldCharType="separate"/>
            </w:r>
            <w:r w:rsidR="000E7C0F">
              <w:rPr>
                <w:noProof/>
                <w:webHidden/>
              </w:rPr>
              <w:t>20</w:t>
            </w:r>
            <w:r w:rsidR="000E7C0F">
              <w:rPr>
                <w:noProof/>
                <w:webHidden/>
              </w:rPr>
              <w:fldChar w:fldCharType="end"/>
            </w:r>
          </w:hyperlink>
        </w:p>
        <w:p w14:paraId="09B3DAA5" w14:textId="77777777" w:rsidR="000E7C0F" w:rsidRDefault="00A06137">
          <w:pPr>
            <w:pStyle w:val="TOC1"/>
            <w:rPr>
              <w:rFonts w:asciiTheme="minorHAnsi" w:eastAsiaTheme="minorEastAsia" w:hAnsiTheme="minorHAnsi"/>
              <w:noProof/>
              <w:lang w:eastAsia="en-GB"/>
            </w:rPr>
          </w:pPr>
          <w:hyperlink w:anchor="_Toc137207297" w:history="1">
            <w:r w:rsidR="000E7C0F" w:rsidRPr="00E6289E">
              <w:rPr>
                <w:rStyle w:val="Hyperlink"/>
                <w:noProof/>
              </w:rPr>
              <w:t>15.</w:t>
            </w:r>
            <w:r w:rsidR="000E7C0F">
              <w:rPr>
                <w:rFonts w:asciiTheme="minorHAnsi" w:eastAsiaTheme="minorEastAsia" w:hAnsiTheme="minorHAnsi"/>
                <w:noProof/>
                <w:lang w:eastAsia="en-GB"/>
              </w:rPr>
              <w:tab/>
            </w:r>
            <w:r w:rsidR="000E7C0F" w:rsidRPr="00E6289E">
              <w:rPr>
                <w:rStyle w:val="Hyperlink"/>
                <w:noProof/>
              </w:rPr>
              <w:t>Compliance reports</w:t>
            </w:r>
            <w:r w:rsidR="000E7C0F">
              <w:rPr>
                <w:noProof/>
                <w:webHidden/>
              </w:rPr>
              <w:tab/>
            </w:r>
            <w:r w:rsidR="000E7C0F">
              <w:rPr>
                <w:noProof/>
                <w:webHidden/>
              </w:rPr>
              <w:fldChar w:fldCharType="begin"/>
            </w:r>
            <w:r w:rsidR="000E7C0F">
              <w:rPr>
                <w:noProof/>
                <w:webHidden/>
              </w:rPr>
              <w:instrText xml:space="preserve"> PAGEREF _Toc137207297 \h </w:instrText>
            </w:r>
            <w:r w:rsidR="000E7C0F">
              <w:rPr>
                <w:noProof/>
                <w:webHidden/>
              </w:rPr>
            </w:r>
            <w:r w:rsidR="000E7C0F">
              <w:rPr>
                <w:noProof/>
                <w:webHidden/>
              </w:rPr>
              <w:fldChar w:fldCharType="separate"/>
            </w:r>
            <w:r w:rsidR="000E7C0F">
              <w:rPr>
                <w:noProof/>
                <w:webHidden/>
              </w:rPr>
              <w:t>21</w:t>
            </w:r>
            <w:r w:rsidR="000E7C0F">
              <w:rPr>
                <w:noProof/>
                <w:webHidden/>
              </w:rPr>
              <w:fldChar w:fldCharType="end"/>
            </w:r>
          </w:hyperlink>
        </w:p>
        <w:p w14:paraId="53D7A0FD" w14:textId="77777777" w:rsidR="000E7C0F" w:rsidRDefault="00A06137">
          <w:pPr>
            <w:pStyle w:val="TOC1"/>
            <w:rPr>
              <w:rFonts w:asciiTheme="minorHAnsi" w:eastAsiaTheme="minorEastAsia" w:hAnsiTheme="minorHAnsi"/>
              <w:noProof/>
              <w:lang w:eastAsia="en-GB"/>
            </w:rPr>
          </w:pPr>
          <w:hyperlink w:anchor="_Toc137207298" w:history="1">
            <w:r w:rsidR="000E7C0F" w:rsidRPr="00E6289E">
              <w:rPr>
                <w:rStyle w:val="Hyperlink"/>
                <w:noProof/>
              </w:rPr>
              <w:t>16.</w:t>
            </w:r>
            <w:r w:rsidR="000E7C0F">
              <w:rPr>
                <w:rFonts w:asciiTheme="minorHAnsi" w:eastAsiaTheme="minorEastAsia" w:hAnsiTheme="minorHAnsi"/>
                <w:noProof/>
                <w:lang w:eastAsia="en-GB"/>
              </w:rPr>
              <w:tab/>
            </w:r>
            <w:r w:rsidR="000E7C0F" w:rsidRPr="00E6289E">
              <w:rPr>
                <w:rStyle w:val="Hyperlink"/>
                <w:noProof/>
              </w:rPr>
              <w:t>Post-sale review</w:t>
            </w:r>
            <w:r w:rsidR="000E7C0F">
              <w:rPr>
                <w:noProof/>
                <w:webHidden/>
              </w:rPr>
              <w:tab/>
            </w:r>
            <w:r w:rsidR="000E7C0F">
              <w:rPr>
                <w:noProof/>
                <w:webHidden/>
              </w:rPr>
              <w:fldChar w:fldCharType="begin"/>
            </w:r>
            <w:r w:rsidR="000E7C0F">
              <w:rPr>
                <w:noProof/>
                <w:webHidden/>
              </w:rPr>
              <w:instrText xml:space="preserve"> PAGEREF _Toc137207298 \h </w:instrText>
            </w:r>
            <w:r w:rsidR="000E7C0F">
              <w:rPr>
                <w:noProof/>
                <w:webHidden/>
              </w:rPr>
            </w:r>
            <w:r w:rsidR="000E7C0F">
              <w:rPr>
                <w:noProof/>
                <w:webHidden/>
              </w:rPr>
              <w:fldChar w:fldCharType="separate"/>
            </w:r>
            <w:r w:rsidR="000E7C0F">
              <w:rPr>
                <w:noProof/>
                <w:webHidden/>
              </w:rPr>
              <w:t>21</w:t>
            </w:r>
            <w:r w:rsidR="000E7C0F">
              <w:rPr>
                <w:noProof/>
                <w:webHidden/>
              </w:rPr>
              <w:fldChar w:fldCharType="end"/>
            </w:r>
          </w:hyperlink>
        </w:p>
        <w:p w14:paraId="1247FAD5" w14:textId="77777777" w:rsidR="000E7C0F" w:rsidRDefault="00A06137">
          <w:pPr>
            <w:pStyle w:val="TOC1"/>
            <w:rPr>
              <w:rFonts w:asciiTheme="minorHAnsi" w:eastAsiaTheme="minorEastAsia" w:hAnsiTheme="minorHAnsi"/>
              <w:noProof/>
              <w:lang w:eastAsia="en-GB"/>
            </w:rPr>
          </w:pPr>
          <w:hyperlink w:anchor="_Toc137207299" w:history="1">
            <w:r w:rsidR="000E7C0F" w:rsidRPr="00E6289E">
              <w:rPr>
                <w:rStyle w:val="Hyperlink"/>
                <w:noProof/>
              </w:rPr>
              <w:t>17.</w:t>
            </w:r>
            <w:r w:rsidR="000E7C0F">
              <w:rPr>
                <w:rFonts w:asciiTheme="minorHAnsi" w:eastAsiaTheme="minorEastAsia" w:hAnsiTheme="minorHAnsi"/>
                <w:noProof/>
                <w:lang w:eastAsia="en-GB"/>
              </w:rPr>
              <w:tab/>
            </w:r>
            <w:r w:rsidR="000E7C0F" w:rsidRPr="00E6289E">
              <w:rPr>
                <w:rStyle w:val="Hyperlink"/>
                <w:noProof/>
              </w:rPr>
              <w:t>Review of the Policy</w:t>
            </w:r>
            <w:r w:rsidR="000E7C0F">
              <w:rPr>
                <w:noProof/>
                <w:webHidden/>
              </w:rPr>
              <w:tab/>
            </w:r>
            <w:r w:rsidR="000E7C0F">
              <w:rPr>
                <w:noProof/>
                <w:webHidden/>
              </w:rPr>
              <w:fldChar w:fldCharType="begin"/>
            </w:r>
            <w:r w:rsidR="000E7C0F">
              <w:rPr>
                <w:noProof/>
                <w:webHidden/>
              </w:rPr>
              <w:instrText xml:space="preserve"> PAGEREF _Toc137207299 \h </w:instrText>
            </w:r>
            <w:r w:rsidR="000E7C0F">
              <w:rPr>
                <w:noProof/>
                <w:webHidden/>
              </w:rPr>
            </w:r>
            <w:r w:rsidR="000E7C0F">
              <w:rPr>
                <w:noProof/>
                <w:webHidden/>
              </w:rPr>
              <w:fldChar w:fldCharType="separate"/>
            </w:r>
            <w:r w:rsidR="000E7C0F">
              <w:rPr>
                <w:noProof/>
                <w:webHidden/>
              </w:rPr>
              <w:t>21</w:t>
            </w:r>
            <w:r w:rsidR="000E7C0F">
              <w:rPr>
                <w:noProof/>
                <w:webHidden/>
              </w:rPr>
              <w:fldChar w:fldCharType="end"/>
            </w:r>
          </w:hyperlink>
        </w:p>
        <w:p w14:paraId="02A30191" w14:textId="60E97DC8" w:rsidR="00AC13C4" w:rsidRPr="009E7178" w:rsidRDefault="00AC13C4" w:rsidP="007E35D3">
          <w:pPr>
            <w:pStyle w:val="TOC1"/>
          </w:pPr>
          <w:r w:rsidRPr="009E7178">
            <w:rPr>
              <w:b/>
            </w:rPr>
            <w:fldChar w:fldCharType="end"/>
          </w:r>
        </w:p>
      </w:sdtContent>
    </w:sdt>
    <w:p w14:paraId="5C548A9B" w14:textId="74E42BC4" w:rsidR="00E6689C" w:rsidRPr="009E7178" w:rsidRDefault="00E6689C">
      <w:pPr>
        <w:spacing w:after="160" w:line="259" w:lineRule="auto"/>
        <w:jc w:val="left"/>
        <w:rPr>
          <w:rFonts w:cs="Times New Roman"/>
        </w:rPr>
      </w:pPr>
      <w:r w:rsidRPr="009E7178">
        <w:rPr>
          <w:rFonts w:cs="Times New Roman"/>
        </w:rPr>
        <w:br w:type="page"/>
      </w:r>
    </w:p>
    <w:p w14:paraId="1A92C7EB" w14:textId="4F81F08A" w:rsidR="00AF757A" w:rsidRPr="009E7178" w:rsidRDefault="00AF757A" w:rsidP="006940EA">
      <w:pPr>
        <w:pStyle w:val="Heading1"/>
        <w:numPr>
          <w:ilvl w:val="0"/>
          <w:numId w:val="4"/>
        </w:numPr>
        <w:contextualSpacing w:val="0"/>
        <w:rPr>
          <w:rFonts w:eastAsia="Cambria"/>
        </w:rPr>
      </w:pPr>
      <w:bookmarkStart w:id="1" w:name="_Toc137207283"/>
      <w:r w:rsidRPr="009E7178">
        <w:lastRenderedPageBreak/>
        <w:t xml:space="preserve">Definitions </w:t>
      </w:r>
      <w:r w:rsidR="008C0D80" w:rsidRPr="009E7178">
        <w:rPr>
          <w:rFonts w:eastAsia="Cambria"/>
        </w:rPr>
        <w:t>and In</w:t>
      </w:r>
      <w:bookmarkStart w:id="2" w:name="_Hlk116319927"/>
      <w:r w:rsidR="008C0D80" w:rsidRPr="009E7178">
        <w:rPr>
          <w:rFonts w:eastAsia="Cambria"/>
        </w:rPr>
        <w:t>terpretation</w:t>
      </w:r>
      <w:bookmarkEnd w:id="2"/>
      <w:bookmarkEnd w:id="1"/>
    </w:p>
    <w:p w14:paraId="46F5C516" w14:textId="511F147B" w:rsidR="008C0D80" w:rsidRPr="009E7178" w:rsidRDefault="008C0D80" w:rsidP="006940EA">
      <w:pPr>
        <w:pStyle w:val="Listlevel2"/>
        <w:rPr>
          <w:b/>
        </w:rPr>
      </w:pPr>
      <w:bookmarkStart w:id="3" w:name="_Ref130824800"/>
      <w:r w:rsidRPr="009E7178">
        <w:t>Definitions</w:t>
      </w:r>
      <w:bookmarkEnd w:id="3"/>
    </w:p>
    <w:p w14:paraId="5D9DB119" w14:textId="5AF57AB8"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Board of Directors</w:t>
      </w:r>
      <w:r w:rsidRPr="009E7178">
        <w:rPr>
          <w:rFonts w:eastAsiaTheme="minorHAnsi"/>
          <w:snapToGrid/>
          <w:szCs w:val="22"/>
        </w:rPr>
        <w:t>”: the Board of Directors of the Company.</w:t>
      </w:r>
    </w:p>
    <w:p w14:paraId="54221845" w14:textId="0D729799" w:rsidR="00F627E0" w:rsidRPr="009E7178" w:rsidRDefault="00F627E0" w:rsidP="00A93E1B">
      <w:pPr>
        <w:pStyle w:val="a"/>
        <w:rPr>
          <w:rFonts w:eastAsiaTheme="minorHAnsi"/>
          <w:snapToGrid/>
          <w:szCs w:val="22"/>
        </w:rPr>
      </w:pPr>
      <w:r w:rsidRPr="009E7178">
        <w:t>“</w:t>
      </w:r>
      <w:r w:rsidRPr="009E7178">
        <w:rPr>
          <w:b/>
        </w:rPr>
        <w:t>clients</w:t>
      </w:r>
      <w:r w:rsidRPr="009E7178">
        <w:t xml:space="preserve">”: </w:t>
      </w:r>
      <w:r w:rsidR="00B4507D" w:rsidRPr="009E7178">
        <w:t>retail clients, professional clients and eligible counterparties</w:t>
      </w:r>
      <w:r w:rsidRPr="009E7178">
        <w:t>.</w:t>
      </w:r>
    </w:p>
    <w:p w14:paraId="05A0041F" w14:textId="77777777"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Company’s database</w:t>
      </w:r>
      <w:r w:rsidRPr="009E7178">
        <w:rPr>
          <w:rFonts w:eastAsiaTheme="minorHAnsi"/>
          <w:snapToGrid/>
          <w:szCs w:val="22"/>
        </w:rPr>
        <w:t xml:space="preserve">”: </w:t>
      </w:r>
      <w:r w:rsidRPr="009E7178">
        <w:rPr>
          <w:szCs w:val="22"/>
        </w:rPr>
        <w:t>a universal on-premise system of programs for automating a company’s financial and wider operational activities based on 1C or such other system the Company will utilise.</w:t>
      </w:r>
    </w:p>
    <w:p w14:paraId="66CACC49" w14:textId="30EF57AA"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CySEC Directive</w:t>
      </w:r>
      <w:r w:rsidRPr="009E7178">
        <w:rPr>
          <w:rFonts w:eastAsiaTheme="minorHAnsi"/>
          <w:snapToGrid/>
          <w:szCs w:val="22"/>
        </w:rPr>
        <w:t xml:space="preserve">”: Directive DI87-01 of the Cyprus Securities and Exchange Commission for the Safeguarding of Financial Instruments and Funds belonging to Clients, Product Governance Obligations and the rules applicable to the Provision or Reception of Fees, Commissions or any Monetary or Non-Monetary Benefits, R.A.D. 2/2018, </w:t>
      </w:r>
      <w:r w:rsidRPr="009E7178" w:rsidDel="00B87199">
        <w:rPr>
          <w:rFonts w:eastAsiaTheme="minorHAnsi"/>
          <w:snapToGrid/>
          <w:szCs w:val="22"/>
        </w:rPr>
        <w:t xml:space="preserve">publication </w:t>
      </w:r>
      <w:r w:rsidRPr="009E7178">
        <w:rPr>
          <w:rFonts w:eastAsiaTheme="minorHAnsi"/>
          <w:snapToGrid/>
          <w:szCs w:val="22"/>
        </w:rPr>
        <w:t xml:space="preserve">dated 05 January 2018 as amended by the </w:t>
      </w:r>
      <w:r w:rsidRPr="009E7178">
        <w:rPr>
          <w:szCs w:val="22"/>
        </w:rPr>
        <w:t>Directive DI87-01(Α) for the Safeguarding of Financial Instruments and Funds belonging to Clients</w:t>
      </w:r>
      <w:r w:rsidRPr="009E7178" w:rsidDel="0054668B">
        <w:rPr>
          <w:szCs w:val="22"/>
        </w:rPr>
        <w:t xml:space="preserve"> </w:t>
      </w:r>
      <w:r w:rsidRPr="009E7178">
        <w:rPr>
          <w:szCs w:val="22"/>
        </w:rPr>
        <w:t>dated 22 July 2022</w:t>
      </w:r>
      <w:r w:rsidRPr="009E7178">
        <w:rPr>
          <w:rStyle w:val="FootnoteReference"/>
          <w:szCs w:val="22"/>
        </w:rPr>
        <w:footnoteReference w:id="2"/>
      </w:r>
      <w:r w:rsidRPr="009E7178">
        <w:rPr>
          <w:rFonts w:eastAsiaTheme="minorHAnsi"/>
          <w:snapToGrid/>
          <w:szCs w:val="22"/>
        </w:rPr>
        <w:t>.</w:t>
      </w:r>
    </w:p>
    <w:p w14:paraId="0D0C011D" w14:textId="51DAA656"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Distributor</w:t>
      </w:r>
      <w:r w:rsidRPr="009E7178">
        <w:rPr>
          <w:rFonts w:eastAsiaTheme="minorHAnsi"/>
          <w:snapToGrid/>
          <w:szCs w:val="22"/>
        </w:rPr>
        <w:t>”: taking into account Recital</w:t>
      </w:r>
      <w:r w:rsidR="00182BF6" w:rsidRPr="009E7178">
        <w:rPr>
          <w:rFonts w:eastAsiaTheme="minorHAnsi"/>
          <w:snapToGrid/>
          <w:szCs w:val="22"/>
        </w:rPr>
        <w:t> </w:t>
      </w:r>
      <w:r w:rsidRPr="009E7178">
        <w:rPr>
          <w:rFonts w:eastAsiaTheme="minorHAnsi"/>
          <w:snapToGrid/>
          <w:szCs w:val="22"/>
        </w:rPr>
        <w:t>15 and Article 10(1) of the MiFID II Delegated Directive it means a firm which offers, recommends or sells an investment product or provides investment services to clients:</w:t>
      </w:r>
      <w:r w:rsidRPr="009E7178" w:rsidDel="00983725">
        <w:rPr>
          <w:rFonts w:eastAsiaTheme="minorHAnsi"/>
          <w:snapToGrid/>
          <w:szCs w:val="22"/>
        </w:rPr>
        <w:t xml:space="preserve"> Recital</w:t>
      </w:r>
      <w:r w:rsidR="00182BF6" w:rsidRPr="009E7178">
        <w:rPr>
          <w:rFonts w:eastAsiaTheme="minorHAnsi"/>
          <w:snapToGrid/>
          <w:szCs w:val="22"/>
        </w:rPr>
        <w:t> </w:t>
      </w:r>
      <w:r w:rsidRPr="009E7178" w:rsidDel="00983725">
        <w:rPr>
          <w:rFonts w:eastAsiaTheme="minorHAnsi"/>
          <w:snapToGrid/>
          <w:szCs w:val="22"/>
        </w:rPr>
        <w:t>15 and Article 10(1) of the MiFID II Delegated Directive</w:t>
      </w:r>
      <w:r w:rsidRPr="009E7178">
        <w:rPr>
          <w:rFonts w:eastAsiaTheme="minorHAnsi"/>
          <w:snapToGrid/>
          <w:szCs w:val="22"/>
        </w:rPr>
        <w:t>.</w:t>
      </w:r>
    </w:p>
    <w:p w14:paraId="005F696A" w14:textId="2344DA9C" w:rsidR="001569C9" w:rsidRPr="009E7178" w:rsidRDefault="001569C9" w:rsidP="00A93E1B">
      <w:pPr>
        <w:pStyle w:val="a"/>
        <w:rPr>
          <w:rFonts w:eastAsiaTheme="minorHAnsi"/>
          <w:snapToGrid/>
          <w:szCs w:val="22"/>
        </w:rPr>
      </w:pPr>
      <w:r w:rsidRPr="009E7178" w:rsidDel="008C0D80">
        <w:rPr>
          <w:rFonts w:eastAsiaTheme="minorHAnsi"/>
          <w:snapToGrid/>
          <w:szCs w:val="22"/>
        </w:rPr>
        <w:t>“</w:t>
      </w:r>
      <w:r w:rsidRPr="009E7178" w:rsidDel="008C0D80">
        <w:rPr>
          <w:rFonts w:eastAsiaTheme="minorHAnsi"/>
          <w:b/>
          <w:snapToGrid/>
          <w:szCs w:val="22"/>
        </w:rPr>
        <w:t>end client</w:t>
      </w:r>
      <w:r w:rsidRPr="009E7178" w:rsidDel="008C0D80">
        <w:rPr>
          <w:rFonts w:eastAsiaTheme="minorHAnsi"/>
          <w:snapToGrid/>
          <w:szCs w:val="22"/>
        </w:rPr>
        <w:t>”: the person or group of persons at the end of the supply chain.</w:t>
      </w:r>
    </w:p>
    <w:p w14:paraId="20935AED" w14:textId="6D9BFE6D" w:rsidR="006F5225" w:rsidRPr="009E7178" w:rsidRDefault="006F5225" w:rsidP="00A93E1B">
      <w:pPr>
        <w:pStyle w:val="a"/>
      </w:pPr>
      <w:r w:rsidRPr="009E7178">
        <w:t>“</w:t>
      </w:r>
      <w:r w:rsidRPr="009E7178">
        <w:rPr>
          <w:b/>
        </w:rPr>
        <w:t>environmentally sustainable investment</w:t>
      </w:r>
      <w:r w:rsidRPr="009E7178">
        <w:t xml:space="preserve">”: an investment in one or several economic activities that qualify as environmentally sustainable under </w:t>
      </w:r>
      <w:r w:rsidR="0095141B" w:rsidRPr="009E7178">
        <w:t xml:space="preserve">the </w:t>
      </w:r>
      <w:r w:rsidR="0095141B" w:rsidRPr="009E7178">
        <w:rPr>
          <w:szCs w:val="22"/>
        </w:rPr>
        <w:t>Taxonomy Regulation</w:t>
      </w:r>
      <w:r w:rsidR="0095141B" w:rsidRPr="009E7178">
        <w:t xml:space="preserve"> (defined below) </w:t>
      </w:r>
      <w:r w:rsidRPr="009E7178">
        <w:rPr>
          <w:szCs w:val="22"/>
        </w:rPr>
        <w:t>or other definition as set by the Taxonomy Regulation</w:t>
      </w:r>
      <w:r w:rsidRPr="009E7178">
        <w:t xml:space="preserve"> </w:t>
      </w:r>
      <w:r w:rsidR="008223FC" w:rsidRPr="009E7178">
        <w:t>after the date of the Policy.</w:t>
      </w:r>
    </w:p>
    <w:p w14:paraId="791DDDE7" w14:textId="6BE1AF1A" w:rsidR="008223FC" w:rsidRPr="009E7178" w:rsidRDefault="008223FC" w:rsidP="00A93E1B">
      <w:pPr>
        <w:pStyle w:val="a"/>
        <w:rPr>
          <w:rFonts w:eastAsiaTheme="minorHAnsi"/>
          <w:snapToGrid/>
          <w:szCs w:val="22"/>
        </w:rPr>
      </w:pPr>
      <w:r w:rsidRPr="009E7178">
        <w:t>“</w:t>
      </w:r>
      <w:r w:rsidRPr="009E7178">
        <w:rPr>
          <w:b/>
        </w:rPr>
        <w:t>ESG</w:t>
      </w:r>
      <w:r w:rsidRPr="009E7178">
        <w:t>”</w:t>
      </w:r>
      <w:r w:rsidRPr="009E7178">
        <w:rPr>
          <w:iCs/>
        </w:rPr>
        <w:t>: environmental, social and governance</w:t>
      </w:r>
      <w:r w:rsidRPr="009E7178">
        <w:t>.</w:t>
      </w:r>
    </w:p>
    <w:p w14:paraId="50140213" w14:textId="32BC7B4B"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ESMA Guidelines</w:t>
      </w:r>
      <w:r w:rsidRPr="009E7178">
        <w:rPr>
          <w:rFonts w:eastAsiaTheme="minorHAnsi"/>
          <w:snapToGrid/>
          <w:szCs w:val="22"/>
        </w:rPr>
        <w:t>”: ESMA Final Report on guidelines on MiFID II product governance requirements dated 27</w:t>
      </w:r>
      <w:r w:rsidR="00182BF6" w:rsidRPr="009E7178">
        <w:rPr>
          <w:rFonts w:eastAsiaTheme="minorHAnsi"/>
          <w:snapToGrid/>
          <w:szCs w:val="22"/>
        </w:rPr>
        <w:t> </w:t>
      </w:r>
      <w:r w:rsidRPr="009E7178">
        <w:rPr>
          <w:rFonts w:eastAsiaTheme="minorHAnsi"/>
          <w:snapToGrid/>
          <w:szCs w:val="22"/>
        </w:rPr>
        <w:t>March 2023</w:t>
      </w:r>
      <w:r w:rsidRPr="009E7178" w:rsidDel="00B57BFF">
        <w:rPr>
          <w:rFonts w:eastAsiaTheme="minorHAnsi"/>
          <w:snapToGrid/>
          <w:szCs w:val="22"/>
        </w:rPr>
        <w:t xml:space="preserve"> </w:t>
      </w:r>
      <w:r w:rsidRPr="009E7178">
        <w:rPr>
          <w:rFonts w:eastAsiaTheme="minorHAnsi"/>
          <w:snapToGrid/>
          <w:szCs w:val="22"/>
        </w:rPr>
        <w:t>| ESMA35-43-3448</w:t>
      </w:r>
      <w:r w:rsidRPr="009E7178">
        <w:rPr>
          <w:rStyle w:val="FootnoteReference"/>
          <w:rFonts w:eastAsiaTheme="minorHAnsi"/>
          <w:snapToGrid/>
          <w:szCs w:val="22"/>
        </w:rPr>
        <w:footnoteReference w:id="3"/>
      </w:r>
      <w:r w:rsidRPr="009E7178">
        <w:rPr>
          <w:rFonts w:eastAsiaTheme="minorHAnsi"/>
          <w:snapToGrid/>
          <w:szCs w:val="22"/>
        </w:rPr>
        <w:t>.</w:t>
      </w:r>
    </w:p>
    <w:p w14:paraId="1A5D1AF6" w14:textId="77777777" w:rsidR="00C409C1" w:rsidRPr="009E7178" w:rsidRDefault="00C409C1"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financial instruments</w:t>
      </w:r>
      <w:r w:rsidRPr="009E7178">
        <w:rPr>
          <w:rFonts w:eastAsiaTheme="minorHAnsi"/>
          <w:snapToGrid/>
          <w:szCs w:val="22"/>
        </w:rPr>
        <w:t>”: the instruments specified in Section C of Annex I of MiFID II.</w:t>
      </w:r>
    </w:p>
    <w:p w14:paraId="00E012F5" w14:textId="01AAF3C8" w:rsidR="00C409C1" w:rsidRPr="009E7178" w:rsidRDefault="00C409C1"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investment product</w:t>
      </w:r>
      <w:r w:rsidRPr="009E7178">
        <w:rPr>
          <w:rFonts w:eastAsiaTheme="minorHAnsi"/>
          <w:snapToGrid/>
          <w:szCs w:val="22"/>
        </w:rPr>
        <w:t>”</w:t>
      </w:r>
      <w:r w:rsidR="00A41D32" w:rsidRPr="009E7178">
        <w:rPr>
          <w:rFonts w:eastAsiaTheme="minorHAnsi"/>
          <w:snapToGrid/>
          <w:szCs w:val="22"/>
        </w:rPr>
        <w:t xml:space="preserve"> or “</w:t>
      </w:r>
      <w:r w:rsidR="00A41D32" w:rsidRPr="009E7178">
        <w:rPr>
          <w:rFonts w:eastAsiaTheme="minorHAnsi"/>
          <w:b/>
          <w:snapToGrid/>
          <w:szCs w:val="22"/>
        </w:rPr>
        <w:t>product</w:t>
      </w:r>
      <w:r w:rsidR="00A41D32" w:rsidRPr="009E7178">
        <w:rPr>
          <w:rFonts w:eastAsiaTheme="minorHAnsi"/>
          <w:snapToGrid/>
          <w:szCs w:val="22"/>
        </w:rPr>
        <w:t>”</w:t>
      </w:r>
      <w:r w:rsidRPr="009E7178">
        <w:rPr>
          <w:rFonts w:eastAsiaTheme="minorHAnsi"/>
          <w:snapToGrid/>
          <w:szCs w:val="22"/>
        </w:rPr>
        <w:t>: a financial instrument (within the meaning of Article 4(1)(15) of MiFID II) or a structured deposit (within the meaning of Article 4(1)(43) of MiFID II).</w:t>
      </w:r>
    </w:p>
    <w:p w14:paraId="33F99B60" w14:textId="0F0787C1" w:rsidR="00537060" w:rsidRPr="009E7178" w:rsidRDefault="00537060"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KID</w:t>
      </w:r>
      <w:r w:rsidRPr="009E7178">
        <w:rPr>
          <w:rFonts w:eastAsiaTheme="minorHAnsi"/>
          <w:snapToGrid/>
          <w:szCs w:val="22"/>
        </w:rPr>
        <w:t xml:space="preserve">”: </w:t>
      </w:r>
      <w:r w:rsidRPr="009E7178">
        <w:t>key information document</w:t>
      </w:r>
      <w:r w:rsidR="00B41340" w:rsidRPr="009E7178">
        <w:t>.</w:t>
      </w:r>
    </w:p>
    <w:p w14:paraId="2F43EE56" w14:textId="655F10CA" w:rsidR="00C409C1" w:rsidRPr="009E7178" w:rsidRDefault="00C409C1" w:rsidP="00A93E1B">
      <w:pPr>
        <w:pStyle w:val="a"/>
        <w:rPr>
          <w:rFonts w:eastAsiaTheme="minorHAnsi"/>
          <w:snapToGrid/>
          <w:szCs w:val="22"/>
        </w:rPr>
      </w:pPr>
      <w:r w:rsidRPr="009E7178">
        <w:t>“</w:t>
      </w:r>
      <w:r w:rsidRPr="009E7178">
        <w:rPr>
          <w:b/>
        </w:rPr>
        <w:t>Law</w:t>
      </w:r>
      <w:r w:rsidRPr="009E7178">
        <w:t xml:space="preserve">”: Investment Services and Activities and Regulated Markets Law </w:t>
      </w:r>
      <w:r w:rsidR="00082212" w:rsidRPr="009E7178">
        <w:t>L. </w:t>
      </w:r>
      <w:r w:rsidRPr="009E7178">
        <w:t>87(I)/2017</w:t>
      </w:r>
      <w:r w:rsidR="000044DC" w:rsidRPr="009E7178">
        <w:rPr>
          <w:rStyle w:val="FootnoteReference"/>
        </w:rPr>
        <w:footnoteReference w:id="4"/>
      </w:r>
      <w:r w:rsidR="00B41340" w:rsidRPr="009E7178">
        <w:t>.</w:t>
      </w:r>
    </w:p>
    <w:p w14:paraId="5C1B2EF6" w14:textId="77777777" w:rsidR="00C409C1" w:rsidRPr="009E7178" w:rsidRDefault="00C409C1"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Manufacturer</w:t>
      </w:r>
      <w:r w:rsidRPr="009E7178">
        <w:rPr>
          <w:rFonts w:eastAsiaTheme="minorHAnsi"/>
          <w:snapToGrid/>
          <w:szCs w:val="22"/>
        </w:rPr>
        <w:t>”: taking into account Recital 15 and Article 9(1) of the MiFID II Delegated Directive</w:t>
      </w:r>
      <w:r w:rsidRPr="009E7178" w:rsidDel="00983725">
        <w:rPr>
          <w:rFonts w:eastAsiaTheme="minorHAnsi"/>
          <w:snapToGrid/>
          <w:szCs w:val="22"/>
        </w:rPr>
        <w:t>,</w:t>
      </w:r>
      <w:r w:rsidRPr="009E7178">
        <w:rPr>
          <w:rFonts w:eastAsiaTheme="minorHAnsi"/>
          <w:snapToGrid/>
          <w:szCs w:val="22"/>
        </w:rPr>
        <w:t xml:space="preserve"> it means a firm that manufactures an investment product, </w:t>
      </w:r>
      <w:r w:rsidRPr="009E7178" w:rsidDel="007C2A0B">
        <w:rPr>
          <w:rFonts w:eastAsiaTheme="minorHAnsi"/>
          <w:snapToGrid/>
          <w:szCs w:val="22"/>
        </w:rPr>
        <w:t xml:space="preserve">including </w:t>
      </w:r>
      <w:r w:rsidRPr="009E7178">
        <w:rPr>
          <w:rFonts w:eastAsiaTheme="minorHAnsi"/>
          <w:snapToGrid/>
          <w:szCs w:val="22"/>
        </w:rPr>
        <w:t>as well as the creation, development, issuance or design of that product, including when advising corporate issuers on the launch of a new product.</w:t>
      </w:r>
    </w:p>
    <w:p w14:paraId="3EE33E5F" w14:textId="4C475664"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MiFID II Delegated Directive</w:t>
      </w:r>
      <w:r w:rsidRPr="009E7178">
        <w:rPr>
          <w:rFonts w:eastAsiaTheme="minorHAnsi"/>
          <w:snapToGrid/>
          <w:szCs w:val="22"/>
        </w:rPr>
        <w:t>”: Commission Delegated Directive (EU) 2017/593 of 7</w:t>
      </w:r>
      <w:r w:rsidR="00182BF6" w:rsidRPr="009E7178">
        <w:rPr>
          <w:rFonts w:eastAsiaTheme="minorHAnsi"/>
          <w:snapToGrid/>
          <w:szCs w:val="22"/>
        </w:rPr>
        <w:t> </w:t>
      </w:r>
      <w:r w:rsidRPr="009E7178">
        <w:rPr>
          <w:rFonts w:eastAsiaTheme="minorHAnsi"/>
          <w:snapToGrid/>
          <w:szCs w:val="22"/>
        </w:rPr>
        <w:t xml:space="preserve">April 2016 supplementing MiFID II Directive of the European Parliament and of the Council with regard to </w:t>
      </w:r>
      <w:r w:rsidRPr="009E7178">
        <w:rPr>
          <w:rFonts w:eastAsiaTheme="minorHAnsi"/>
          <w:snapToGrid/>
          <w:szCs w:val="22"/>
        </w:rPr>
        <w:lastRenderedPageBreak/>
        <w:t>safeguarding of financial instruments and funds belonging to clients, product governance obligations and the rules applicable to the provision or reception of fees, commissions or any monetary or non-monetary benefits</w:t>
      </w:r>
      <w:r w:rsidRPr="009E7178">
        <w:rPr>
          <w:rStyle w:val="FootnoteReference"/>
          <w:rFonts w:eastAsiaTheme="minorHAnsi"/>
          <w:snapToGrid/>
          <w:szCs w:val="22"/>
        </w:rPr>
        <w:footnoteReference w:id="5"/>
      </w:r>
      <w:r w:rsidRPr="009E7178">
        <w:rPr>
          <w:rFonts w:eastAsiaTheme="minorHAnsi"/>
          <w:snapToGrid/>
          <w:szCs w:val="22"/>
        </w:rPr>
        <w:t>.</w:t>
      </w:r>
    </w:p>
    <w:p w14:paraId="2EDC9C81" w14:textId="4B806891"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MiFID II</w:t>
      </w:r>
      <w:r w:rsidRPr="009E7178">
        <w:rPr>
          <w:rFonts w:eastAsiaTheme="minorHAnsi"/>
          <w:snapToGrid/>
          <w:szCs w:val="22"/>
        </w:rPr>
        <w:t>”: Directive 2014/65/EU of the European Parliament and of the Council of 15</w:t>
      </w:r>
      <w:r w:rsidR="00182BF6" w:rsidRPr="009E7178">
        <w:rPr>
          <w:rFonts w:eastAsiaTheme="minorHAnsi"/>
          <w:snapToGrid/>
          <w:szCs w:val="22"/>
        </w:rPr>
        <w:t> </w:t>
      </w:r>
      <w:r w:rsidRPr="009E7178">
        <w:rPr>
          <w:rFonts w:eastAsiaTheme="minorHAnsi"/>
          <w:snapToGrid/>
          <w:szCs w:val="22"/>
        </w:rPr>
        <w:t>May 2014 on markets in financial instruments and amending Directive 2002/92/EC and Directive 2011/61/EU (recast)</w:t>
      </w:r>
      <w:r w:rsidRPr="009E7178">
        <w:rPr>
          <w:rStyle w:val="FootnoteReference"/>
          <w:rFonts w:eastAsiaTheme="minorHAnsi"/>
          <w:snapToGrid/>
          <w:szCs w:val="22"/>
        </w:rPr>
        <w:footnoteReference w:id="6"/>
      </w:r>
      <w:r w:rsidRPr="009E7178">
        <w:rPr>
          <w:rFonts w:eastAsiaTheme="minorHAnsi"/>
          <w:snapToGrid/>
          <w:szCs w:val="22"/>
        </w:rPr>
        <w:t>.</w:t>
      </w:r>
    </w:p>
    <w:p w14:paraId="606CBA1B" w14:textId="77777777"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Policy</w:t>
      </w:r>
      <w:r w:rsidRPr="009E7178">
        <w:rPr>
          <w:rFonts w:eastAsiaTheme="minorHAnsi"/>
          <w:snapToGrid/>
          <w:szCs w:val="22"/>
        </w:rPr>
        <w:t>”: Product Governance Policy.</w:t>
      </w:r>
    </w:p>
    <w:p w14:paraId="462C9552" w14:textId="26C35A13"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PRIIPs</w:t>
      </w:r>
      <w:r w:rsidRPr="009E7178">
        <w:rPr>
          <w:rFonts w:eastAsiaTheme="minorHAnsi"/>
          <w:snapToGrid/>
          <w:szCs w:val="22"/>
        </w:rPr>
        <w:t xml:space="preserve">”: </w:t>
      </w:r>
      <w:r w:rsidR="00DF6760" w:rsidRPr="009E7178">
        <w:rPr>
          <w:rFonts w:eastAsiaTheme="minorHAnsi"/>
          <w:snapToGrid/>
          <w:szCs w:val="22"/>
        </w:rPr>
        <w:t xml:space="preserve">packaged retail and insurance-based investment products as defined in the </w:t>
      </w:r>
      <w:r w:rsidRPr="009E7178">
        <w:rPr>
          <w:rFonts w:eastAsiaTheme="minorHAnsi"/>
          <w:snapToGrid/>
          <w:szCs w:val="22"/>
        </w:rPr>
        <w:t>Regulation (EU) 1286/2014 of the European Parliament and of the Council of 26</w:t>
      </w:r>
      <w:r w:rsidR="00246C86" w:rsidRPr="009E7178">
        <w:rPr>
          <w:rFonts w:eastAsiaTheme="minorHAnsi"/>
          <w:snapToGrid/>
          <w:szCs w:val="22"/>
        </w:rPr>
        <w:t> </w:t>
      </w:r>
      <w:r w:rsidRPr="009E7178">
        <w:rPr>
          <w:rFonts w:eastAsiaTheme="minorHAnsi"/>
          <w:snapToGrid/>
          <w:szCs w:val="22"/>
        </w:rPr>
        <w:t>November 2014 on key information documents for packaged retail and insurance-based investment products (PRIIPs)</w:t>
      </w:r>
      <w:r w:rsidRPr="009E7178">
        <w:rPr>
          <w:rStyle w:val="FootnoteReference"/>
          <w:rFonts w:eastAsiaTheme="minorHAnsi"/>
          <w:snapToGrid/>
          <w:szCs w:val="22"/>
        </w:rPr>
        <w:footnoteReference w:id="7"/>
      </w:r>
      <w:r w:rsidRPr="009E7178">
        <w:rPr>
          <w:rFonts w:eastAsiaTheme="minorHAnsi"/>
          <w:snapToGrid/>
          <w:szCs w:val="22"/>
        </w:rPr>
        <w:t>.</w:t>
      </w:r>
    </w:p>
    <w:p w14:paraId="376939C4" w14:textId="01AA22D0" w:rsidR="006F5225" w:rsidRPr="009E7178" w:rsidRDefault="006F5225" w:rsidP="00A93E1B">
      <w:pPr>
        <w:pStyle w:val="a"/>
        <w:rPr>
          <w:rFonts w:eastAsiaTheme="minorHAnsi"/>
          <w:snapToGrid/>
          <w:szCs w:val="22"/>
        </w:rPr>
      </w:pPr>
      <w:r w:rsidRPr="009E7178">
        <w:rPr>
          <w:rFonts w:eastAsiaTheme="minorHAnsi"/>
          <w:snapToGrid/>
          <w:szCs w:val="22"/>
        </w:rPr>
        <w:t>“</w:t>
      </w:r>
      <w:r w:rsidRPr="009E7178">
        <w:rPr>
          <w:rFonts w:eastAsiaTheme="minorHAnsi"/>
          <w:b/>
          <w:snapToGrid/>
          <w:szCs w:val="22"/>
        </w:rPr>
        <w:t>SFDR</w:t>
      </w:r>
      <w:r w:rsidRPr="009E7178">
        <w:rPr>
          <w:rFonts w:eastAsiaTheme="minorHAnsi"/>
          <w:snapToGrid/>
          <w:szCs w:val="22"/>
        </w:rPr>
        <w:t xml:space="preserve">”: the </w:t>
      </w:r>
      <w:r w:rsidRPr="009E7178">
        <w:rPr>
          <w:szCs w:val="22"/>
        </w:rPr>
        <w:t>Regulation (EU) 2019/2088 of the European Parliament and of the Council of 27 November 2019 on sustainability‐related disclosures in the financial services sector</w:t>
      </w:r>
      <w:r w:rsidRPr="009E7178">
        <w:rPr>
          <w:rStyle w:val="FootnoteReference"/>
          <w:szCs w:val="22"/>
        </w:rPr>
        <w:footnoteReference w:id="8"/>
      </w:r>
      <w:r w:rsidRPr="009E7178">
        <w:rPr>
          <w:szCs w:val="22"/>
        </w:rPr>
        <w:t>.</w:t>
      </w:r>
    </w:p>
    <w:p w14:paraId="5AD9D8E9" w14:textId="2BA36BE6" w:rsidR="006F5225" w:rsidRPr="009E7178" w:rsidRDefault="006F5225" w:rsidP="00A93E1B">
      <w:pPr>
        <w:pStyle w:val="a"/>
        <w:rPr>
          <w:szCs w:val="22"/>
        </w:rPr>
      </w:pPr>
      <w:r w:rsidRPr="009E7178">
        <w:rPr>
          <w:bCs/>
          <w:szCs w:val="22"/>
        </w:rPr>
        <w:t>“</w:t>
      </w:r>
      <w:r w:rsidRPr="009E7178">
        <w:rPr>
          <w:rFonts w:eastAsiaTheme="minorHAnsi"/>
          <w:b/>
          <w:snapToGrid/>
          <w:szCs w:val="22"/>
        </w:rPr>
        <w:t>sustainability</w:t>
      </w:r>
      <w:r w:rsidRPr="009E7178">
        <w:rPr>
          <w:b/>
          <w:bCs/>
          <w:szCs w:val="22"/>
        </w:rPr>
        <w:t xml:space="preserve"> factors</w:t>
      </w:r>
      <w:r w:rsidRPr="009E7178">
        <w:rPr>
          <w:bCs/>
          <w:szCs w:val="22"/>
        </w:rPr>
        <w:t>”</w:t>
      </w:r>
      <w:r w:rsidRPr="009E7178">
        <w:rPr>
          <w:szCs w:val="22"/>
        </w:rPr>
        <w:t xml:space="preserve">: environmental, social and employee matters, respect for human rights, anti-corruption and anti-bribery matters or other definition as set by the </w:t>
      </w:r>
      <w:r w:rsidRPr="009E7178">
        <w:t>SFDR (defined above) after the date of the Policy</w:t>
      </w:r>
      <w:r w:rsidRPr="009E7178">
        <w:rPr>
          <w:szCs w:val="22"/>
        </w:rPr>
        <w:t>.</w:t>
      </w:r>
    </w:p>
    <w:p w14:paraId="59F6DAE7" w14:textId="17FFE35C" w:rsidR="00B048DA" w:rsidRPr="009E7178" w:rsidRDefault="00F04310" w:rsidP="00F04310">
      <w:pPr>
        <w:pStyle w:val="a"/>
      </w:pPr>
      <w:r w:rsidRPr="009E7178">
        <w:t>“</w:t>
      </w:r>
      <w:r w:rsidRPr="009E7178">
        <w:rPr>
          <w:b/>
        </w:rPr>
        <w:t>sustainable investment</w:t>
      </w:r>
      <w:r w:rsidRPr="009E7178">
        <w:t>”:</w:t>
      </w:r>
    </w:p>
    <w:p w14:paraId="1F9DB5CE" w14:textId="3EA37189" w:rsidR="00B048DA" w:rsidRPr="009E7178" w:rsidRDefault="00F04310" w:rsidP="00B048DA">
      <w:pPr>
        <w:pStyle w:val="ListParagraph"/>
      </w:pPr>
      <w:r w:rsidRPr="009E7178">
        <w:t xml:space="preserve">an investment in an economic activity that contributes </w:t>
      </w:r>
      <w:r w:rsidRPr="009E7178">
        <w:rPr>
          <w:b/>
        </w:rPr>
        <w:t>to an environmental objective</w:t>
      </w:r>
      <w:r w:rsidRPr="009E7178">
        <w:t>, as measured, for example, by key resource efficiency indicators on the use of energy, renewable energy, raw materials, water and land, on the production of waste, a</w:t>
      </w:r>
      <w:r w:rsidR="00B048DA" w:rsidRPr="009E7178">
        <w:t xml:space="preserve">nd greenhouse gas emissions, or </w:t>
      </w:r>
      <w:r w:rsidRPr="009E7178">
        <w:t>on its impact on biodiversi</w:t>
      </w:r>
      <w:r w:rsidR="00B048DA" w:rsidRPr="009E7178">
        <w:t>ty and the circular economy</w:t>
      </w:r>
      <w:r w:rsidR="008223FC" w:rsidRPr="009E7178">
        <w:t>;</w:t>
      </w:r>
      <w:r w:rsidR="00B048DA" w:rsidRPr="009E7178">
        <w:t xml:space="preserve"> or</w:t>
      </w:r>
    </w:p>
    <w:p w14:paraId="40519B9C" w14:textId="040883F1" w:rsidR="00B048DA" w:rsidRPr="009E7178" w:rsidRDefault="00F04310" w:rsidP="00B048DA">
      <w:pPr>
        <w:pStyle w:val="ListParagraph"/>
      </w:pPr>
      <w:r w:rsidRPr="009E7178">
        <w:t>an investment in an economic activity that contributes to a social objective, in particular an investment that contributes to tackling inequality or that fosters social cohesion, social integration and labour relations</w:t>
      </w:r>
      <w:r w:rsidR="008223FC" w:rsidRPr="009E7178">
        <w:t xml:space="preserve">; </w:t>
      </w:r>
    </w:p>
    <w:p w14:paraId="5FAE4A8B" w14:textId="6ABCEBA5" w:rsidR="00F04310" w:rsidRPr="009E7178" w:rsidRDefault="00F04310" w:rsidP="00B048DA">
      <w:pPr>
        <w:pStyle w:val="ListParagraph"/>
      </w:pPr>
      <w:r w:rsidRPr="009E7178">
        <w:t xml:space="preserve">an investment in human capital or economically or socially disadvantaged communities, provided that such investments do not significantly harm </w:t>
      </w:r>
      <w:r w:rsidRPr="009E7178">
        <w:rPr>
          <w:b/>
        </w:rPr>
        <w:t>any of those objectives</w:t>
      </w:r>
      <w:r w:rsidRPr="009E7178">
        <w:t xml:space="preserve"> and that the investee companies follow good governance practices, in particular with respect to sound management structures, employee relations, remuneration of staff and tax compliance</w:t>
      </w:r>
      <w:r w:rsidR="008223FC" w:rsidRPr="009E7178">
        <w:t>; or</w:t>
      </w:r>
    </w:p>
    <w:p w14:paraId="00655C37" w14:textId="6CA905F6" w:rsidR="00357F1B" w:rsidRPr="009E7178" w:rsidRDefault="00D57410" w:rsidP="00B048DA">
      <w:pPr>
        <w:pStyle w:val="ListParagraph"/>
      </w:pPr>
      <w:r w:rsidRPr="009E7178">
        <w:t>other definition as set by the SFDR (defined above) after the date of the Policy.</w:t>
      </w:r>
    </w:p>
    <w:p w14:paraId="3B797509" w14:textId="7F8D72BD" w:rsidR="00614B89" w:rsidRPr="009E7178" w:rsidRDefault="00545C32" w:rsidP="00545C32">
      <w:pPr>
        <w:pStyle w:val="a"/>
      </w:pPr>
      <w:r w:rsidRPr="009E7178">
        <w:t>“</w:t>
      </w:r>
      <w:r w:rsidRPr="009E7178">
        <w:rPr>
          <w:b/>
        </w:rPr>
        <w:t>sustainability preferences</w:t>
      </w:r>
      <w:r w:rsidRPr="009E7178">
        <w:t xml:space="preserve">”: a client’s or potential client’s choice as to whether and, if so, to what extent, one or more of the following financial instruments shall be integrated into </w:t>
      </w:r>
      <w:r w:rsidR="0044304B" w:rsidRPr="009E7178">
        <w:t>his</w:t>
      </w:r>
      <w:r w:rsidRPr="009E7178">
        <w:t xml:space="preserve"> investment</w:t>
      </w:r>
      <w:r w:rsidR="00614B89" w:rsidRPr="009E7178">
        <w:t>:</w:t>
      </w:r>
    </w:p>
    <w:p w14:paraId="68AECD33" w14:textId="1F4981A1" w:rsidR="00545C32" w:rsidRPr="009E7178" w:rsidRDefault="00545C32" w:rsidP="00545C32">
      <w:pPr>
        <w:pStyle w:val="ListParagraph"/>
      </w:pPr>
      <w:r w:rsidRPr="009E7178">
        <w:t>a financial instrument for which the client or potential client determines that a minimum proportion shall be invested in environmentally sustainable investments (</w:t>
      </w:r>
      <w:r w:rsidR="00CF6365" w:rsidRPr="009E7178">
        <w:t>defined above</w:t>
      </w:r>
      <w:r w:rsidRPr="009E7178">
        <w:t>);</w:t>
      </w:r>
    </w:p>
    <w:p w14:paraId="150309CD" w14:textId="260B5359" w:rsidR="00545C32" w:rsidRPr="009E7178" w:rsidRDefault="00545C32" w:rsidP="00545C32">
      <w:pPr>
        <w:pStyle w:val="ListParagraph"/>
      </w:pPr>
      <w:r w:rsidRPr="009E7178">
        <w:t xml:space="preserve">a financial instrument for which the client or potential client determines that a minimum proportion shall be invested in sustainable investments as defined in </w:t>
      </w:r>
      <w:r w:rsidR="00B1458A" w:rsidRPr="009E7178">
        <w:t>the SFDR (defined above)</w:t>
      </w:r>
      <w:r w:rsidRPr="009E7178">
        <w:t>;</w:t>
      </w:r>
    </w:p>
    <w:p w14:paraId="5DD3816F" w14:textId="4C988225" w:rsidR="00545C32" w:rsidRPr="009E7178" w:rsidRDefault="00545C32" w:rsidP="00545C32">
      <w:pPr>
        <w:pStyle w:val="ListParagraph"/>
      </w:pPr>
      <w:r w:rsidRPr="009E7178">
        <w:lastRenderedPageBreak/>
        <w:t>a financial instrument that considers principal adverse impacts on sustainability factors</w:t>
      </w:r>
      <w:r w:rsidR="00CF6365" w:rsidRPr="009E7178">
        <w:t xml:space="preserve"> (defined above)</w:t>
      </w:r>
      <w:r w:rsidRPr="009E7178">
        <w:t xml:space="preserve"> where qualitative or quantitative elements demonstrating that consideration are determined by the client or potential client;</w:t>
      </w:r>
      <w:r w:rsidR="0095141B" w:rsidRPr="009E7178">
        <w:t xml:space="preserve"> and/or</w:t>
      </w:r>
    </w:p>
    <w:p w14:paraId="1B89354E" w14:textId="6F6F1F60" w:rsidR="00B1458A" w:rsidRPr="009E7178" w:rsidRDefault="00DD1C1C" w:rsidP="00545C32">
      <w:pPr>
        <w:pStyle w:val="ListParagraph"/>
      </w:pPr>
      <w:r w:rsidRPr="009E7178">
        <w:t>other definition as set by the Commission Delegated Regulation (EU) 2017/565 of 25 April 2016 supplementing Directive 2014/65/EU of the European Parliament and of the Council as regards organisational requirements and operating conditions for investment firms and defined terms for the purposes of that Directive</w:t>
      </w:r>
      <w:r w:rsidRPr="009E7178">
        <w:rPr>
          <w:rStyle w:val="FootnoteReference"/>
        </w:rPr>
        <w:footnoteReference w:id="9"/>
      </w:r>
      <w:r w:rsidRPr="009E7178">
        <w:t xml:space="preserve"> after the date of the Policy.</w:t>
      </w:r>
    </w:p>
    <w:p w14:paraId="0CC93B7F" w14:textId="79652391" w:rsidR="00F04310" w:rsidRPr="009E7178" w:rsidRDefault="00F04310" w:rsidP="00F04310">
      <w:pPr>
        <w:pStyle w:val="a"/>
        <w:rPr>
          <w:szCs w:val="22"/>
          <w:lang w:val="ru-RU"/>
        </w:rPr>
      </w:pPr>
      <w:r w:rsidRPr="009E7178">
        <w:t>“</w:t>
      </w:r>
      <w:r w:rsidR="00313589" w:rsidRPr="009E7178">
        <w:rPr>
          <w:b/>
        </w:rPr>
        <w:t>sustainability risk</w:t>
      </w:r>
      <w:r w:rsidRPr="009E7178">
        <w:t>”:</w:t>
      </w:r>
      <w:r w:rsidRPr="009E7178">
        <w:rPr>
          <w:szCs w:val="22"/>
        </w:rPr>
        <w:t xml:space="preserve"> </w:t>
      </w:r>
      <w:r w:rsidRPr="009E7178">
        <w:t>an environmental, social or governance event or condition that, if it occurs, could cause an actual or a potential material negative impact</w:t>
      </w:r>
      <w:r w:rsidR="00926ABB" w:rsidRPr="009E7178">
        <w:t xml:space="preserve"> on the value of the investment</w:t>
      </w:r>
      <w:r w:rsidRPr="009E7178">
        <w:rPr>
          <w:szCs w:val="22"/>
        </w:rPr>
        <w:t xml:space="preserve"> </w:t>
      </w:r>
      <w:r w:rsidR="00BB6906" w:rsidRPr="009E7178">
        <w:rPr>
          <w:szCs w:val="22"/>
        </w:rPr>
        <w:t xml:space="preserve">or other definition as set by the </w:t>
      </w:r>
      <w:r w:rsidR="00BB6906" w:rsidRPr="009E7178">
        <w:t>SFDR (defined above) after the date of the Policy</w:t>
      </w:r>
      <w:r w:rsidRPr="009E7178">
        <w:rPr>
          <w:szCs w:val="22"/>
        </w:rPr>
        <w:t>.</w:t>
      </w:r>
    </w:p>
    <w:p w14:paraId="4AD75804" w14:textId="26999E3F" w:rsidR="00616BF1" w:rsidRPr="009E7178" w:rsidRDefault="00616BF1" w:rsidP="00A93E1B">
      <w:pPr>
        <w:pStyle w:val="a"/>
        <w:rPr>
          <w:szCs w:val="22"/>
        </w:rPr>
      </w:pPr>
      <w:r w:rsidRPr="009E7178">
        <w:rPr>
          <w:szCs w:val="22"/>
        </w:rPr>
        <w:t>“</w:t>
      </w:r>
      <w:r w:rsidRPr="009E7178">
        <w:rPr>
          <w:b/>
          <w:szCs w:val="22"/>
        </w:rPr>
        <w:t>Taxonomy Regulation</w:t>
      </w:r>
      <w:r w:rsidRPr="009E7178">
        <w:rPr>
          <w:szCs w:val="22"/>
        </w:rPr>
        <w:t>”: the Regulation (EU) 2020/852 of the European Parliament and of the Council of 18</w:t>
      </w:r>
      <w:r w:rsidR="001569C9" w:rsidRPr="009E7178">
        <w:rPr>
          <w:szCs w:val="22"/>
        </w:rPr>
        <w:t> </w:t>
      </w:r>
      <w:r w:rsidRPr="009E7178">
        <w:rPr>
          <w:szCs w:val="22"/>
        </w:rPr>
        <w:t>June 2020 on the establishment of a framework to facilitate sustainable investment, and amending Regulation (EU) 2019/2088</w:t>
      </w:r>
      <w:r w:rsidRPr="009E7178">
        <w:rPr>
          <w:rStyle w:val="FootnoteReference"/>
          <w:szCs w:val="22"/>
        </w:rPr>
        <w:footnoteReference w:id="10"/>
      </w:r>
      <w:r w:rsidRPr="009E7178">
        <w:rPr>
          <w:szCs w:val="22"/>
        </w:rPr>
        <w:t>.</w:t>
      </w:r>
    </w:p>
    <w:p w14:paraId="537E42A1" w14:textId="77777777" w:rsidR="008C0D80" w:rsidRPr="009E7178" w:rsidRDefault="008C0D80" w:rsidP="006940EA">
      <w:pPr>
        <w:pStyle w:val="Listlevel2"/>
      </w:pPr>
      <w:bookmarkStart w:id="4" w:name="_Toc123827007"/>
      <w:r w:rsidRPr="009E7178">
        <w:t>Interpretation</w:t>
      </w:r>
      <w:bookmarkEnd w:id="4"/>
    </w:p>
    <w:p w14:paraId="2DCEF3F4" w14:textId="77777777" w:rsidR="008C0D80" w:rsidRPr="009E7178" w:rsidRDefault="008C0D80" w:rsidP="00A93E1B">
      <w:pPr>
        <w:rPr>
          <w:szCs w:val="22"/>
        </w:rPr>
      </w:pPr>
      <w:r w:rsidRPr="009E7178">
        <w:rPr>
          <w:szCs w:val="22"/>
        </w:rPr>
        <w:t>The following rules of construction shall apply to the Policy:</w:t>
      </w:r>
    </w:p>
    <w:p w14:paraId="7771ACD5" w14:textId="77777777" w:rsidR="008C0D80" w:rsidRPr="009E7178" w:rsidRDefault="008C0D80" w:rsidP="00A93E1B">
      <w:pPr>
        <w:pStyle w:val="Listlevel3"/>
      </w:pPr>
      <w:r w:rsidRPr="009E7178">
        <w:t>All terms defined in the Policy in the singular form shall have comparable meanings when used in the plural form and vice versa.</w:t>
      </w:r>
    </w:p>
    <w:p w14:paraId="5F00555F" w14:textId="77777777" w:rsidR="008C0D80" w:rsidRPr="009E7178" w:rsidRDefault="008C0D80" w:rsidP="00A93E1B">
      <w:pPr>
        <w:pStyle w:val="Listlevel3"/>
      </w:pPr>
      <w:r w:rsidRPr="009E7178">
        <w:t>All terms not defined in the Policy shall bear the meaning ascribed to them in other policies and documents of the Company.</w:t>
      </w:r>
    </w:p>
    <w:p w14:paraId="2AD8103B" w14:textId="33AB7455" w:rsidR="008C0D80" w:rsidRPr="009E7178" w:rsidRDefault="008C0D80" w:rsidP="00A93E1B">
      <w:pPr>
        <w:pStyle w:val="Listlevel3"/>
      </w:pPr>
      <w:r w:rsidRPr="009E7178">
        <w:t xml:space="preserve">Words importing the masculine gender shall include the feminine </w:t>
      </w:r>
      <w:r w:rsidR="00EA35BC" w:rsidRPr="009E7178">
        <w:t xml:space="preserve">and neuter </w:t>
      </w:r>
      <w:r w:rsidRPr="009E7178">
        <w:t>gender</w:t>
      </w:r>
      <w:r w:rsidR="00B907AA" w:rsidRPr="009E7178">
        <w:t>s</w:t>
      </w:r>
      <w:r w:rsidRPr="009E7178">
        <w:t>.</w:t>
      </w:r>
    </w:p>
    <w:p w14:paraId="3DF35E6E" w14:textId="63F36FE4" w:rsidR="008C0D80" w:rsidRPr="009E7178" w:rsidRDefault="008C0D80" w:rsidP="00A93E1B">
      <w:pPr>
        <w:pStyle w:val="Listlevel3"/>
      </w:pPr>
      <w:r w:rsidRPr="009E7178">
        <w:t>References to sections</w:t>
      </w:r>
      <w:r w:rsidR="005A2F1E" w:rsidRPr="009E7178">
        <w:t>, appendixes</w:t>
      </w:r>
      <w:r w:rsidRPr="009E7178">
        <w:t xml:space="preserve"> and annexes herein are references to sections</w:t>
      </w:r>
      <w:r w:rsidR="005A2F1E" w:rsidRPr="009E7178">
        <w:t>, appendixes</w:t>
      </w:r>
      <w:r w:rsidRPr="009E7178">
        <w:t xml:space="preserve"> and annexes of the Policy respectively unless indicated otherwise.</w:t>
      </w:r>
    </w:p>
    <w:p w14:paraId="3C7A883D" w14:textId="1E3C38A5" w:rsidR="008C0D80" w:rsidRPr="009E7178" w:rsidRDefault="008C0D80" w:rsidP="00A93E1B">
      <w:pPr>
        <w:pStyle w:val="Listlevel3"/>
      </w:pPr>
      <w:r w:rsidRPr="009E7178">
        <w:t>References to the Board of Directors, senior management, departments, offices</w:t>
      </w:r>
      <w:r w:rsidR="001569C9" w:rsidRPr="009E7178">
        <w:t>, and staff</w:t>
      </w:r>
      <w:r w:rsidRPr="009E7178">
        <w:t xml:space="preserve"> herein are references to the Board of Directors, senior management, departments, </w:t>
      </w:r>
      <w:r w:rsidR="001569C9" w:rsidRPr="009E7178">
        <w:t xml:space="preserve">offices, and staff </w:t>
      </w:r>
      <w:r w:rsidRPr="009E7178">
        <w:t xml:space="preserve">of the Company </w:t>
      </w:r>
      <w:r w:rsidR="001569C9" w:rsidRPr="009E7178">
        <w:t xml:space="preserve">respectively </w:t>
      </w:r>
      <w:r w:rsidRPr="009E7178">
        <w:t>unless indicated otherwise.</w:t>
      </w:r>
    </w:p>
    <w:p w14:paraId="79BDF3D8" w14:textId="77777777" w:rsidR="00AF757A" w:rsidRPr="009E7178" w:rsidRDefault="00AF757A" w:rsidP="006940EA">
      <w:pPr>
        <w:pStyle w:val="Heading1"/>
        <w:numPr>
          <w:ilvl w:val="0"/>
          <w:numId w:val="4"/>
        </w:numPr>
        <w:contextualSpacing w:val="0"/>
        <w:rPr>
          <w:b w:val="0"/>
        </w:rPr>
      </w:pPr>
      <w:bookmarkStart w:id="5" w:name="_Toc131094200"/>
      <w:bookmarkStart w:id="6" w:name="_Toc131607624"/>
      <w:bookmarkStart w:id="7" w:name="_Toc131676586"/>
      <w:bookmarkStart w:id="8" w:name="_Toc131684497"/>
      <w:bookmarkStart w:id="9" w:name="_Toc131094201"/>
      <w:bookmarkStart w:id="10" w:name="_Toc131607625"/>
      <w:bookmarkStart w:id="11" w:name="_Toc131676587"/>
      <w:bookmarkStart w:id="12" w:name="_Toc131684498"/>
      <w:bookmarkStart w:id="13" w:name="_Toc137207284"/>
      <w:bookmarkEnd w:id="5"/>
      <w:bookmarkEnd w:id="6"/>
      <w:bookmarkEnd w:id="7"/>
      <w:bookmarkEnd w:id="8"/>
      <w:bookmarkEnd w:id="9"/>
      <w:bookmarkEnd w:id="10"/>
      <w:bookmarkEnd w:id="11"/>
      <w:bookmarkEnd w:id="12"/>
      <w:r w:rsidRPr="009E7178">
        <w:t>Scope and Purpose of this Policy</w:t>
      </w:r>
      <w:bookmarkEnd w:id="13"/>
      <w:r w:rsidRPr="009E7178">
        <w:t xml:space="preserve"> </w:t>
      </w:r>
    </w:p>
    <w:p w14:paraId="19AD9342" w14:textId="65BDD755" w:rsidR="005C0A83" w:rsidRPr="009E7178" w:rsidRDefault="00AF757A" w:rsidP="006940EA">
      <w:pPr>
        <w:pStyle w:val="Listlevel2"/>
      </w:pPr>
      <w:r w:rsidRPr="009E7178">
        <w:rPr>
          <w:bCs/>
        </w:rPr>
        <w:t>SKANESTAS INVESTMENTS LIMITED</w:t>
      </w:r>
      <w:r w:rsidRPr="009E7178">
        <w:t xml:space="preserve"> (the “</w:t>
      </w:r>
      <w:r w:rsidRPr="009E7178">
        <w:rPr>
          <w:b/>
        </w:rPr>
        <w:t>Company</w:t>
      </w:r>
      <w:r w:rsidRPr="009E7178">
        <w:t>”) with CIF License No. 251/14 offers a variety of investment products</w:t>
      </w:r>
      <w:r w:rsidR="00CF6365" w:rsidRPr="009E7178">
        <w:t xml:space="preserve"> (defined in Section </w:t>
      </w:r>
      <w:r w:rsidR="00CF6365" w:rsidRPr="009E7178">
        <w:fldChar w:fldCharType="begin"/>
      </w:r>
      <w:r w:rsidR="00CF6365" w:rsidRPr="009E7178">
        <w:instrText xml:space="preserve"> REF _Ref130824800 \r \h </w:instrText>
      </w:r>
      <w:r w:rsidR="009E7178">
        <w:instrText xml:space="preserve"> \* MERGEFORMAT </w:instrText>
      </w:r>
      <w:r w:rsidR="00CF6365" w:rsidRPr="009E7178">
        <w:fldChar w:fldCharType="separate"/>
      </w:r>
      <w:r w:rsidR="000E7C0F">
        <w:t>1.1</w:t>
      </w:r>
      <w:r w:rsidR="00CF6365" w:rsidRPr="009E7178">
        <w:fldChar w:fldCharType="end"/>
      </w:r>
      <w:r w:rsidR="00CF6365" w:rsidRPr="009E7178">
        <w:t>)</w:t>
      </w:r>
      <w:r w:rsidRPr="009E7178">
        <w:t xml:space="preserve"> to </w:t>
      </w:r>
      <w:r w:rsidR="00B4507D" w:rsidRPr="009E7178">
        <w:t>retail clients, professional clients and eligible counterparti</w:t>
      </w:r>
      <w:r w:rsidRPr="009E7178">
        <w:t>es (the “</w:t>
      </w:r>
      <w:r w:rsidR="00F627E0" w:rsidRPr="009E7178">
        <w:rPr>
          <w:b/>
        </w:rPr>
        <w:t>clients</w:t>
      </w:r>
      <w:r w:rsidRPr="009E7178">
        <w:t>”). Firms such as the Company are required to have procedures in place that regulate the</w:t>
      </w:r>
      <w:r w:rsidR="004B297B" w:rsidRPr="009E7178">
        <w:t xml:space="preserve"> investment</w:t>
      </w:r>
      <w:r w:rsidRPr="009E7178">
        <w:t xml:space="preserve"> products and services offered by the Company at all stages</w:t>
      </w:r>
      <w:r w:rsidR="005C0A83" w:rsidRPr="009E7178">
        <w:t>.</w:t>
      </w:r>
    </w:p>
    <w:p w14:paraId="5770DA06" w14:textId="05F16B49" w:rsidR="00AF757A" w:rsidRPr="009E7178" w:rsidRDefault="00AF757A" w:rsidP="006940EA">
      <w:pPr>
        <w:pStyle w:val="Listlevel2"/>
      </w:pPr>
      <w:r w:rsidRPr="009E7178">
        <w:t xml:space="preserve">The purpose of this Policy is to ensure investors’ protection, by ensuring that the manufacturing and distribution of financial instruments do not subsist to the detriment of the clients, as per the </w:t>
      </w:r>
      <w:r w:rsidRPr="009E7178">
        <w:rPr>
          <w:bCs/>
        </w:rPr>
        <w:t>requirements</w:t>
      </w:r>
      <w:r w:rsidRPr="009E7178">
        <w:t xml:space="preserve"> of MiFID II.</w:t>
      </w:r>
    </w:p>
    <w:p w14:paraId="1F690221" w14:textId="7ABA78D5" w:rsidR="00AF757A" w:rsidRPr="009E7178" w:rsidRDefault="00AF757A" w:rsidP="006940EA">
      <w:pPr>
        <w:pStyle w:val="Listlevel2"/>
      </w:pPr>
      <w:r w:rsidRPr="009E7178">
        <w:t xml:space="preserve">The </w:t>
      </w:r>
      <w:r w:rsidRPr="009E7178">
        <w:rPr>
          <w:bCs/>
        </w:rPr>
        <w:t>Company</w:t>
      </w:r>
      <w:r w:rsidRPr="009E7178">
        <w:t xml:space="preserve"> shall, therefore, have in place effective product governance policies and procedures that regulate the entire product lifecycle and enable it to act in the best interests of its clients</w:t>
      </w:r>
      <w:r w:rsidR="00AF3668" w:rsidRPr="009E7178">
        <w:t>, their investment objectives and particular requirements</w:t>
      </w:r>
      <w:r w:rsidRPr="009E7178">
        <w:t>.</w:t>
      </w:r>
    </w:p>
    <w:p w14:paraId="1A837FB0" w14:textId="65E80A60" w:rsidR="00AF757A" w:rsidRPr="009E7178" w:rsidRDefault="00AF757A" w:rsidP="006940EA">
      <w:pPr>
        <w:pStyle w:val="Listlevel2"/>
      </w:pPr>
      <w:r w:rsidRPr="009E7178">
        <w:lastRenderedPageBreak/>
        <w:t xml:space="preserve">For each financial instrument in its product assortment, the assessment of whether the Company is considered </w:t>
      </w:r>
      <w:r w:rsidR="00885A06" w:rsidRPr="009E7178">
        <w:t xml:space="preserve">the </w:t>
      </w:r>
      <w:r w:rsidR="00825D52" w:rsidRPr="009E7178">
        <w:t xml:space="preserve">Manufacturer </w:t>
      </w:r>
      <w:r w:rsidR="00885A06" w:rsidRPr="009E7178">
        <w:t>and/</w:t>
      </w:r>
      <w:r w:rsidRPr="009E7178">
        <w:t xml:space="preserve">or </w:t>
      </w:r>
      <w:r w:rsidR="00885A06" w:rsidRPr="009E7178">
        <w:t xml:space="preserve">the </w:t>
      </w:r>
      <w:r w:rsidR="00983725" w:rsidRPr="009E7178">
        <w:t>Distributor</w:t>
      </w:r>
      <w:r w:rsidRPr="009E7178">
        <w:t xml:space="preserve">, the identified positive and negative target market, the defined </w:t>
      </w:r>
      <w:r w:rsidRPr="009E7178">
        <w:rPr>
          <w:bCs/>
        </w:rPr>
        <w:t>distribution</w:t>
      </w:r>
      <w:r w:rsidRPr="009E7178">
        <w:t xml:space="preserve"> strategy and the scenario analysis conducted can be found in Appendix 1 of this Policy.</w:t>
      </w:r>
    </w:p>
    <w:p w14:paraId="41C6324B" w14:textId="77777777" w:rsidR="00AF757A" w:rsidRPr="009E7178" w:rsidRDefault="00AF757A" w:rsidP="006940EA">
      <w:pPr>
        <w:pStyle w:val="Heading1"/>
        <w:numPr>
          <w:ilvl w:val="0"/>
          <w:numId w:val="4"/>
        </w:numPr>
        <w:contextualSpacing w:val="0"/>
        <w:rPr>
          <w:b w:val="0"/>
        </w:rPr>
      </w:pPr>
      <w:bookmarkStart w:id="14" w:name="_Ref131682297"/>
      <w:bookmarkStart w:id="15" w:name="_Toc137207285"/>
      <w:r w:rsidRPr="009E7178">
        <w:t>Legal Framework</w:t>
      </w:r>
      <w:bookmarkEnd w:id="14"/>
      <w:bookmarkEnd w:id="15"/>
    </w:p>
    <w:p w14:paraId="6B84394A" w14:textId="117A9757" w:rsidR="00AF757A" w:rsidRPr="009E7178" w:rsidRDefault="00AF757A" w:rsidP="006940EA">
      <w:pPr>
        <w:pStyle w:val="Listlevel2"/>
      </w:pPr>
      <w:r w:rsidRPr="009E7178">
        <w:t xml:space="preserve">The </w:t>
      </w:r>
      <w:r w:rsidR="00082212" w:rsidRPr="009E7178">
        <w:t xml:space="preserve">principal </w:t>
      </w:r>
      <w:r w:rsidRPr="009E7178">
        <w:t>regulatory framework in place regarding the product governance requirements comprises of the following:</w:t>
      </w:r>
    </w:p>
    <w:p w14:paraId="4A96C81D" w14:textId="47FAE151" w:rsidR="00AF757A" w:rsidRPr="009E7178" w:rsidRDefault="00AF757A" w:rsidP="006940EA">
      <w:pPr>
        <w:pStyle w:val="ListParagraph"/>
      </w:pPr>
      <w:r w:rsidRPr="009E7178">
        <w:t>MiFID II;</w:t>
      </w:r>
    </w:p>
    <w:p w14:paraId="18C2DBB0" w14:textId="38C2C20D" w:rsidR="00AF757A" w:rsidRPr="009E7178" w:rsidRDefault="00082212" w:rsidP="006940EA">
      <w:pPr>
        <w:pStyle w:val="ListParagraph"/>
      </w:pPr>
      <w:r w:rsidRPr="009E7178">
        <w:rPr>
          <w:snapToGrid/>
        </w:rPr>
        <w:t>MiFID II Delegated Directive</w:t>
      </w:r>
      <w:r w:rsidR="00AF757A" w:rsidRPr="009E7178">
        <w:t>;</w:t>
      </w:r>
    </w:p>
    <w:p w14:paraId="5BF93984" w14:textId="650F0E50" w:rsidR="00DF6760" w:rsidRPr="009E7178" w:rsidRDefault="00537060" w:rsidP="006940EA">
      <w:pPr>
        <w:pStyle w:val="ListParagraph"/>
      </w:pPr>
      <w:r w:rsidRPr="009E7178">
        <w:rPr>
          <w:snapToGrid/>
        </w:rPr>
        <w:t>Regulation (EU) 1286/2014 of the European Parliament and of the Council of 26 November 2014 on key information documents for packaged retail and insurance-based investment products (PRIIPs);</w:t>
      </w:r>
    </w:p>
    <w:p w14:paraId="464CFA8A" w14:textId="2494E45F" w:rsidR="00DF6760" w:rsidRPr="009E7178" w:rsidRDefault="00DF6760" w:rsidP="006940EA">
      <w:pPr>
        <w:pStyle w:val="ListParagraph"/>
      </w:pPr>
      <w:r w:rsidRPr="009E7178">
        <w:rPr>
          <w:snapToGrid/>
        </w:rPr>
        <w:t>SFDR;</w:t>
      </w:r>
    </w:p>
    <w:p w14:paraId="3F08F716" w14:textId="061C9EA6" w:rsidR="00537060" w:rsidRPr="009E7178" w:rsidRDefault="00537060" w:rsidP="006940EA">
      <w:pPr>
        <w:pStyle w:val="ListParagraph"/>
      </w:pPr>
      <w:r w:rsidRPr="009E7178">
        <w:t>Taxonomy Regulation;</w:t>
      </w:r>
    </w:p>
    <w:p w14:paraId="0672A112" w14:textId="229B4C8F" w:rsidR="00AF757A" w:rsidRPr="009E7178" w:rsidRDefault="00AF757A" w:rsidP="006940EA">
      <w:pPr>
        <w:pStyle w:val="ListParagraph"/>
      </w:pPr>
      <w:r w:rsidRPr="009E7178">
        <w:t>ESMA Guidelines;</w:t>
      </w:r>
    </w:p>
    <w:p w14:paraId="7699D081" w14:textId="10485B31" w:rsidR="00AF757A" w:rsidRPr="009E7178" w:rsidRDefault="00AF757A" w:rsidP="006940EA">
      <w:pPr>
        <w:pStyle w:val="ListParagraph"/>
      </w:pPr>
      <w:r w:rsidRPr="009E7178">
        <w:t xml:space="preserve">Questions and Answers on MiFID II and MiFIR investor protection and intermediaries topics </w:t>
      </w:r>
      <w:r w:rsidR="00C409C1" w:rsidRPr="009E7178">
        <w:t>dated 19 November 2021 | ESMA35-43-349</w:t>
      </w:r>
      <w:r w:rsidR="00C409C1" w:rsidRPr="009E7178">
        <w:rPr>
          <w:rStyle w:val="FootnoteReference"/>
        </w:rPr>
        <w:footnoteReference w:id="11"/>
      </w:r>
      <w:r w:rsidRPr="009E7178">
        <w:t>;</w:t>
      </w:r>
    </w:p>
    <w:p w14:paraId="617322E6" w14:textId="5044C1D8" w:rsidR="00082212" w:rsidRPr="009E7178" w:rsidRDefault="00082212" w:rsidP="00082212">
      <w:pPr>
        <w:pStyle w:val="ListParagraph"/>
      </w:pPr>
      <w:r w:rsidRPr="009E7178">
        <w:t>Law which incorporates MiFID II into Cyprus national law</w:t>
      </w:r>
      <w:r w:rsidR="00D17A79" w:rsidRPr="009E7178">
        <w:t xml:space="preserve"> L.87(I)/2017</w:t>
      </w:r>
      <w:r w:rsidRPr="009E7178">
        <w:t>;</w:t>
      </w:r>
    </w:p>
    <w:p w14:paraId="05E0E213" w14:textId="06C027C9" w:rsidR="00AF757A" w:rsidRPr="009E7178" w:rsidRDefault="00AF757A" w:rsidP="006940EA">
      <w:pPr>
        <w:pStyle w:val="ListParagraph"/>
      </w:pPr>
      <w:r w:rsidRPr="009E7178">
        <w:t>CySEC’s Directive; and</w:t>
      </w:r>
    </w:p>
    <w:p w14:paraId="1F4D9419" w14:textId="5E990DF0" w:rsidR="00AF757A" w:rsidRPr="009E7178" w:rsidRDefault="00AF757A" w:rsidP="00D97DA2">
      <w:pPr>
        <w:pStyle w:val="ListParagraph"/>
      </w:pPr>
      <w:r w:rsidRPr="009E7178">
        <w:t>CySEC’s Circular C236 on product governance requirements under MiFID II</w:t>
      </w:r>
      <w:r w:rsidR="00D97DA2" w:rsidRPr="009E7178">
        <w:t xml:space="preserve"> dated 15 September 2017</w:t>
      </w:r>
      <w:r w:rsidR="00D97DA2" w:rsidRPr="009E7178">
        <w:rPr>
          <w:rStyle w:val="FootnoteReference"/>
        </w:rPr>
        <w:footnoteReference w:id="12"/>
      </w:r>
      <w:r w:rsidRPr="009E7178">
        <w:t>.</w:t>
      </w:r>
    </w:p>
    <w:p w14:paraId="7E374876" w14:textId="77777777" w:rsidR="00AF757A" w:rsidRPr="009E7178" w:rsidRDefault="00AF757A" w:rsidP="006940EA">
      <w:pPr>
        <w:pStyle w:val="Heading1"/>
        <w:numPr>
          <w:ilvl w:val="0"/>
          <w:numId w:val="4"/>
        </w:numPr>
        <w:contextualSpacing w:val="0"/>
        <w:rPr>
          <w:b w:val="0"/>
        </w:rPr>
      </w:pPr>
      <w:bookmarkStart w:id="16" w:name="_Ref131094216"/>
      <w:bookmarkStart w:id="17" w:name="_Toc137207286"/>
      <w:r w:rsidRPr="009E7178">
        <w:t>General Requirements</w:t>
      </w:r>
      <w:bookmarkEnd w:id="16"/>
      <w:bookmarkEnd w:id="17"/>
      <w:r w:rsidRPr="009E7178">
        <w:t xml:space="preserve"> </w:t>
      </w:r>
    </w:p>
    <w:p w14:paraId="49B76C5D" w14:textId="159DF8AB" w:rsidR="005C0A83" w:rsidRPr="009E7178" w:rsidRDefault="00AF757A" w:rsidP="006940EA">
      <w:pPr>
        <w:pStyle w:val="Listlevel2"/>
      </w:pPr>
      <w:r w:rsidRPr="009E7178">
        <w:t xml:space="preserve">The Company is </w:t>
      </w:r>
      <w:r w:rsidR="00885A06" w:rsidRPr="009E7178">
        <w:t xml:space="preserve">the </w:t>
      </w:r>
      <w:r w:rsidR="00983725" w:rsidRPr="009E7178">
        <w:t>Distributor</w:t>
      </w:r>
      <w:r w:rsidRPr="009E7178">
        <w:t xml:space="preserve">, and will at all times comply with, and pay particular attention to the relevant provisions of MiFID II, the MiFID II Delegated Directive, </w:t>
      </w:r>
      <w:r w:rsidR="00801BBC" w:rsidRPr="009E7178">
        <w:t xml:space="preserve">the ESMA Guidelines, the Law, and </w:t>
      </w:r>
      <w:r w:rsidRPr="009E7178">
        <w:t>the CySEC Directive</w:t>
      </w:r>
      <w:r w:rsidR="005C0A83" w:rsidRPr="009E7178">
        <w:t>.</w:t>
      </w:r>
    </w:p>
    <w:p w14:paraId="730CEA47" w14:textId="4A5374D0" w:rsidR="00614B89" w:rsidRPr="009E7178" w:rsidRDefault="00AF757A" w:rsidP="006940EA">
      <w:pPr>
        <w:pStyle w:val="Listlevel2"/>
      </w:pPr>
      <w:r w:rsidRPr="009E7178">
        <w:t xml:space="preserve">In its capacity as </w:t>
      </w:r>
      <w:r w:rsidR="00885A06" w:rsidRPr="009E7178">
        <w:t xml:space="preserve">the </w:t>
      </w:r>
      <w:r w:rsidR="00983725" w:rsidRPr="009E7178">
        <w:t>Distributor</w:t>
      </w:r>
      <w:r w:rsidRPr="009E7178">
        <w:t>, the Company must</w:t>
      </w:r>
      <w:r w:rsidR="00614B89" w:rsidRPr="009E7178">
        <w:t>:</w:t>
      </w:r>
    </w:p>
    <w:p w14:paraId="2A00E5DD" w14:textId="77777777" w:rsidR="005C0A83" w:rsidRPr="009E7178" w:rsidRDefault="00AF757A" w:rsidP="00A93E1B">
      <w:pPr>
        <w:pStyle w:val="Listlevel3"/>
      </w:pPr>
      <w:r w:rsidRPr="009E7178">
        <w:t>understand the financial instruments it distributes to clients</w:t>
      </w:r>
      <w:r w:rsidR="005C0A83" w:rsidRPr="009E7178">
        <w:t>;</w:t>
      </w:r>
    </w:p>
    <w:p w14:paraId="022ADD87" w14:textId="0136AFBF" w:rsidR="00AF757A" w:rsidRPr="009E7178" w:rsidRDefault="00AF757A" w:rsidP="00A93E1B">
      <w:pPr>
        <w:pStyle w:val="Listlevel3"/>
      </w:pPr>
      <w:r w:rsidRPr="009E7178">
        <w:t xml:space="preserve">assess the compatibility of the financial instruments with the needs and characteristics of the clients to whom it distributes investment services, taking into account the </w:t>
      </w:r>
      <w:r w:rsidR="00825D52" w:rsidRPr="009E7178">
        <w:t xml:space="preserve">Manufacturer’s </w:t>
      </w:r>
      <w:r w:rsidRPr="009E7178">
        <w:t xml:space="preserve">identified target market of end clients; and </w:t>
      </w:r>
    </w:p>
    <w:p w14:paraId="4181423C" w14:textId="0D35F3F6" w:rsidR="00AF757A" w:rsidRPr="009E7178" w:rsidRDefault="00AF757A" w:rsidP="00A93E1B">
      <w:pPr>
        <w:pStyle w:val="Listlevel3"/>
      </w:pPr>
      <w:r w:rsidRPr="009E7178">
        <w:t>ensure that financial instruments are distributed only when this is in the best interests of the client</w:t>
      </w:r>
      <w:r w:rsidR="006D1807" w:rsidRPr="009E7178">
        <w:t>s</w:t>
      </w:r>
      <w:r w:rsidRPr="009E7178">
        <w:t>;</w:t>
      </w:r>
    </w:p>
    <w:p w14:paraId="16D6C880" w14:textId="4B80765F" w:rsidR="00AF757A" w:rsidRPr="009E7178" w:rsidRDefault="00AF757A" w:rsidP="00A93E1B">
      <w:pPr>
        <w:pStyle w:val="Listlevel3"/>
      </w:pPr>
      <w:r w:rsidRPr="009E7178">
        <w:t xml:space="preserve">keep track of changes </w:t>
      </w:r>
      <w:r w:rsidR="00885A06" w:rsidRPr="009E7178">
        <w:t xml:space="preserve">the </w:t>
      </w:r>
      <w:r w:rsidR="00825D52" w:rsidRPr="009E7178">
        <w:t xml:space="preserve">Manufacturer </w:t>
      </w:r>
      <w:r w:rsidRPr="009E7178">
        <w:t>makes to the financial instrument and follow its requirements and conditions to a reasonable extent.</w:t>
      </w:r>
    </w:p>
    <w:p w14:paraId="548E49FD" w14:textId="77777777" w:rsidR="00F425C6" w:rsidRPr="009E7178" w:rsidRDefault="00F425C6" w:rsidP="00F425C6">
      <w:pPr>
        <w:pStyle w:val="Listlevel2"/>
      </w:pPr>
      <w:r w:rsidRPr="009E7178">
        <w:lastRenderedPageBreak/>
        <w:t>Distributors must have in place procedures and measures to ensure that when deciding the range of financial instruments and investment services to be distributed, and the target market, all applicable rules are complied with, including but not limited to</w:t>
      </w:r>
      <w:bookmarkStart w:id="18" w:name="_Ref131093760"/>
      <w:r w:rsidRPr="009E7178">
        <w:t>:</w:t>
      </w:r>
      <w:bookmarkEnd w:id="18"/>
    </w:p>
    <w:p w14:paraId="71B94EBE" w14:textId="77777777" w:rsidR="00F425C6" w:rsidRPr="009E7178" w:rsidRDefault="00F425C6" w:rsidP="00F425C6">
      <w:pPr>
        <w:pStyle w:val="Listlevel3"/>
      </w:pPr>
      <w:r w:rsidRPr="009E7178">
        <w:t>disclosure;</w:t>
      </w:r>
    </w:p>
    <w:p w14:paraId="6D0EB513" w14:textId="77777777" w:rsidR="00F425C6" w:rsidRPr="009E7178" w:rsidRDefault="00F425C6" w:rsidP="00F425C6">
      <w:pPr>
        <w:pStyle w:val="Listlevel3"/>
      </w:pPr>
      <w:r w:rsidRPr="009E7178">
        <w:t>suitability;</w:t>
      </w:r>
    </w:p>
    <w:p w14:paraId="68458306" w14:textId="77777777" w:rsidR="00F425C6" w:rsidRPr="009E7178" w:rsidRDefault="00F425C6" w:rsidP="00F425C6">
      <w:pPr>
        <w:pStyle w:val="Listlevel3"/>
      </w:pPr>
      <w:r w:rsidRPr="009E7178">
        <w:t>appropriateness;</w:t>
      </w:r>
    </w:p>
    <w:p w14:paraId="4DC07763" w14:textId="77777777" w:rsidR="00F425C6" w:rsidRPr="009E7178" w:rsidRDefault="00F425C6" w:rsidP="00F425C6">
      <w:pPr>
        <w:pStyle w:val="Listlevel3"/>
      </w:pPr>
      <w:r w:rsidRPr="009E7178">
        <w:t xml:space="preserve">inducements; and </w:t>
      </w:r>
    </w:p>
    <w:p w14:paraId="200E02CE" w14:textId="7EB52F05" w:rsidR="00F425C6" w:rsidRPr="009E7178" w:rsidRDefault="00F425C6" w:rsidP="00257171">
      <w:pPr>
        <w:pStyle w:val="Listlevel3"/>
      </w:pPr>
      <w:r w:rsidRPr="009E7178">
        <w:t>conflicts of interest.</w:t>
      </w:r>
    </w:p>
    <w:p w14:paraId="4C6768F4" w14:textId="01668155" w:rsidR="005C0A83" w:rsidRPr="009E7178" w:rsidRDefault="00AF757A" w:rsidP="006940EA">
      <w:pPr>
        <w:pStyle w:val="Listlevel2"/>
      </w:pPr>
      <w:r w:rsidRPr="009E7178">
        <w:t xml:space="preserve">In the exercise of the above duties, the Company should consider what impact the selection of a given </w:t>
      </w:r>
      <w:r w:rsidR="00825D52" w:rsidRPr="009E7178">
        <w:t xml:space="preserve">Manufacturer </w:t>
      </w:r>
      <w:r w:rsidRPr="009E7178">
        <w:t xml:space="preserve">could have on the end client in terms of charges or the financial strength of the </w:t>
      </w:r>
      <w:r w:rsidR="00825D52" w:rsidRPr="009E7178">
        <w:t>Manufacturer</w:t>
      </w:r>
      <w:r w:rsidRPr="009E7178">
        <w:t xml:space="preserve">, or possibly, where information is available to the </w:t>
      </w:r>
      <w:r w:rsidR="00983725" w:rsidRPr="009E7178">
        <w:t>Distributor</w:t>
      </w:r>
      <w:r w:rsidRPr="009E7178">
        <w:t xml:space="preserve">, how efficiently and reliably the </w:t>
      </w:r>
      <w:r w:rsidR="00825D52" w:rsidRPr="009E7178">
        <w:t xml:space="preserve">Manufacturer </w:t>
      </w:r>
      <w:r w:rsidRPr="009E7178">
        <w:t xml:space="preserve">will deal with the </w:t>
      </w:r>
      <w:r w:rsidR="00983725" w:rsidRPr="009E7178">
        <w:t xml:space="preserve">Distributor </w:t>
      </w:r>
      <w:r w:rsidRPr="009E7178">
        <w:t>or end client at the point of sale</w:t>
      </w:r>
      <w:r w:rsidR="005C0A83" w:rsidRPr="009E7178">
        <w:t>.</w:t>
      </w:r>
    </w:p>
    <w:p w14:paraId="6AC57E7D" w14:textId="1CC4FE95" w:rsidR="00AF757A" w:rsidRPr="009E7178" w:rsidRDefault="00AF757A" w:rsidP="006940EA">
      <w:pPr>
        <w:pStyle w:val="Heading1"/>
        <w:numPr>
          <w:ilvl w:val="0"/>
          <w:numId w:val="4"/>
        </w:numPr>
        <w:contextualSpacing w:val="0"/>
        <w:rPr>
          <w:b w:val="0"/>
        </w:rPr>
      </w:pPr>
      <w:bookmarkStart w:id="19" w:name="_Toc137207287"/>
      <w:r w:rsidRPr="009E7178">
        <w:t xml:space="preserve">Obtaining information from </w:t>
      </w:r>
      <w:r w:rsidR="00825D52" w:rsidRPr="009E7178">
        <w:t>Manufacturers</w:t>
      </w:r>
      <w:bookmarkEnd w:id="19"/>
      <w:r w:rsidR="00825D52" w:rsidRPr="009E7178">
        <w:t xml:space="preserve"> </w:t>
      </w:r>
    </w:p>
    <w:p w14:paraId="631484C2" w14:textId="77777777" w:rsidR="005C0A83" w:rsidRPr="009E7178" w:rsidRDefault="00AF757A" w:rsidP="006940EA">
      <w:pPr>
        <w:pStyle w:val="Listlevel2"/>
      </w:pPr>
      <w:r w:rsidRPr="009E7178">
        <w:t xml:space="preserve">The Company must obtain from </w:t>
      </w:r>
      <w:r w:rsidR="00825D52" w:rsidRPr="009E7178">
        <w:t xml:space="preserve">Manufacturers </w:t>
      </w:r>
      <w:r w:rsidRPr="009E7178">
        <w:t>information to gain the necessary understanding and knowledge of the financial instruments it intends to distribute in order to ensure that the financial instruments will be distributed in accordance with the needs, characteristics and objectives of the identified target market under MiFID II</w:t>
      </w:r>
      <w:r w:rsidR="005C0A83" w:rsidRPr="009E7178">
        <w:t>.</w:t>
      </w:r>
    </w:p>
    <w:p w14:paraId="20D3FF1D" w14:textId="39BED78C" w:rsidR="005C0A83" w:rsidRPr="009E7178" w:rsidRDefault="00AF757A" w:rsidP="006940EA">
      <w:pPr>
        <w:pStyle w:val="Listlevel2"/>
      </w:pPr>
      <w:bookmarkStart w:id="20" w:name="_Ref130825813"/>
      <w:r w:rsidRPr="009E7178">
        <w:t xml:space="preserve">The Company must </w:t>
      </w:r>
      <w:r w:rsidR="00260C9F" w:rsidRPr="009E7178">
        <w:t>to the exten</w:t>
      </w:r>
      <w:r w:rsidR="00225BA6" w:rsidRPr="009E7178">
        <w:t>t</w:t>
      </w:r>
      <w:r w:rsidR="00260C9F" w:rsidRPr="009E7178">
        <w:t xml:space="preserve"> possible </w:t>
      </w:r>
      <w:r w:rsidRPr="009E7178">
        <w:t xml:space="preserve">obtain from the </w:t>
      </w:r>
      <w:r w:rsidR="007E2942" w:rsidRPr="009E7178">
        <w:t>Manufacturer</w:t>
      </w:r>
      <w:r w:rsidRPr="009E7178">
        <w:t xml:space="preserve"> the following information: information about product’s identified target market, intended distribution strategy, the product’s costs and charges, indicators of whether the </w:t>
      </w:r>
      <w:r w:rsidR="007E2942" w:rsidRPr="009E7178">
        <w:t>Manufacturer</w:t>
      </w:r>
      <w:r w:rsidRPr="009E7178">
        <w:t xml:space="preserve"> deems its product to be complex or non-complex, appropriate information on the </w:t>
      </w:r>
      <w:r w:rsidR="00F9417F" w:rsidRPr="009E7178">
        <w:t xml:space="preserve">Manufacturer’s </w:t>
      </w:r>
      <w:r w:rsidRPr="009E7178">
        <w:t>product approval process</w:t>
      </w:r>
      <w:r w:rsidR="00260C9F" w:rsidRPr="009E7178">
        <w:t>, fulfilment of sustainability criteria</w:t>
      </w:r>
      <w:r w:rsidR="005C0A83" w:rsidRPr="009E7178">
        <w:t>.</w:t>
      </w:r>
      <w:bookmarkEnd w:id="20"/>
    </w:p>
    <w:p w14:paraId="1623007A" w14:textId="2535ED0E" w:rsidR="00AF757A" w:rsidRPr="009E7178" w:rsidRDefault="00AF757A" w:rsidP="006940EA">
      <w:pPr>
        <w:pStyle w:val="Listlevel2"/>
      </w:pPr>
      <w:r w:rsidRPr="009E7178">
        <w:t>In ensuring that it has obtained sufficient information about the financial instruments it distributes and in ensuring that it understands the financial instruments or investment services distributed, the Company:</w:t>
      </w:r>
    </w:p>
    <w:p w14:paraId="4B203BE5" w14:textId="695FE641" w:rsidR="005C0A83" w:rsidRPr="009E7178" w:rsidRDefault="00AF757A" w:rsidP="00A93E1B">
      <w:pPr>
        <w:pStyle w:val="Listlevel3"/>
      </w:pPr>
      <w:r w:rsidRPr="009E7178">
        <w:t xml:space="preserve">should consider whether it understands the materials provided by the </w:t>
      </w:r>
      <w:r w:rsidR="007E2942" w:rsidRPr="009E7178">
        <w:t>Manufacturer</w:t>
      </w:r>
      <w:r w:rsidRPr="009E7178">
        <w:t xml:space="preserve"> or </w:t>
      </w:r>
      <w:r w:rsidR="00983725" w:rsidRPr="009E7178">
        <w:t>the Distributor</w:t>
      </w:r>
      <w:r w:rsidRPr="009E7178">
        <w:t xml:space="preserve"> earlier in the sales chain</w:t>
      </w:r>
      <w:r w:rsidR="005C0A83" w:rsidRPr="009E7178">
        <w:t>;</w:t>
      </w:r>
    </w:p>
    <w:p w14:paraId="48E8B125" w14:textId="1F1147FF" w:rsidR="005C0A83" w:rsidRPr="009E7178" w:rsidRDefault="00AF757A" w:rsidP="00A93E1B">
      <w:pPr>
        <w:pStyle w:val="Listlevel3"/>
      </w:pPr>
      <w:r w:rsidRPr="009E7178">
        <w:t xml:space="preserve">should ask the </w:t>
      </w:r>
      <w:r w:rsidR="007E2942" w:rsidRPr="009E7178">
        <w:t>Manufacturer</w:t>
      </w:r>
      <w:r w:rsidRPr="009E7178">
        <w:t xml:space="preserve"> to supply additional information or training where this seems necessary to understand the financial instrument or investment service adequately</w:t>
      </w:r>
      <w:r w:rsidR="005C0A83" w:rsidRPr="009E7178">
        <w:t>;</w:t>
      </w:r>
    </w:p>
    <w:p w14:paraId="18D8D75E" w14:textId="2EA69D2E" w:rsidR="00AF757A" w:rsidRPr="009E7178" w:rsidRDefault="00AF757A" w:rsidP="00A93E1B">
      <w:pPr>
        <w:pStyle w:val="Listlevel3"/>
      </w:pPr>
      <w:r w:rsidRPr="009E7178">
        <w:t xml:space="preserve">should not distribute the financial instrument or investment service if it does not understand it sufficiently; and </w:t>
      </w:r>
    </w:p>
    <w:p w14:paraId="0B883BB3" w14:textId="019898AD" w:rsidR="005506EA" w:rsidRPr="009E7178" w:rsidRDefault="00AF757A" w:rsidP="00A93E1B">
      <w:pPr>
        <w:pStyle w:val="Listlevel3"/>
      </w:pPr>
      <w:r w:rsidRPr="009E7178">
        <w:t xml:space="preserve">in case it provides information to another </w:t>
      </w:r>
      <w:r w:rsidR="00983725" w:rsidRPr="009E7178">
        <w:t xml:space="preserve">Distributor </w:t>
      </w:r>
      <w:r w:rsidRPr="009E7178">
        <w:t xml:space="preserve">in a distribution chain, it should consider how the further </w:t>
      </w:r>
      <w:r w:rsidR="00983725" w:rsidRPr="009E7178">
        <w:t xml:space="preserve">Distributor </w:t>
      </w:r>
      <w:r w:rsidRPr="009E7178">
        <w:t>will use the information, such as whether it will be given to end clients.</w:t>
      </w:r>
    </w:p>
    <w:p w14:paraId="1FF1DEE3" w14:textId="37632036" w:rsidR="008E1690" w:rsidRPr="009E7178" w:rsidRDefault="005506EA" w:rsidP="001B021C">
      <w:pPr>
        <w:pStyle w:val="Listlevel2"/>
      </w:pPr>
      <w:bookmarkStart w:id="21" w:name="_Ref120206383"/>
      <w:bookmarkStart w:id="22" w:name="_Ref130825086"/>
      <w:r w:rsidRPr="009E7178">
        <w:lastRenderedPageBreak/>
        <w:t xml:space="preserve">The Company relies on </w:t>
      </w:r>
      <w:r w:rsidR="00AC05FE" w:rsidRPr="009E7178">
        <w:t xml:space="preserve">sustainability disclosures by </w:t>
      </w:r>
      <w:r w:rsidR="00374834" w:rsidRPr="009E7178">
        <w:t>the</w:t>
      </w:r>
      <w:r w:rsidR="00AC05FE" w:rsidRPr="009E7178">
        <w:t xml:space="preserve"> </w:t>
      </w:r>
      <w:r w:rsidR="007E2942" w:rsidRPr="009E7178">
        <w:t>Manufacturer</w:t>
      </w:r>
      <w:r w:rsidR="00AC05FE" w:rsidRPr="009E7178">
        <w:t xml:space="preserve"> or</w:t>
      </w:r>
      <w:r w:rsidR="00383DBA" w:rsidRPr="009E7178">
        <w:t>,</w:t>
      </w:r>
      <w:r w:rsidR="00AC05FE" w:rsidRPr="009E7178">
        <w:t xml:space="preserve"> absent which, </w:t>
      </w:r>
      <w:r w:rsidR="00383DBA" w:rsidRPr="009E7178">
        <w:t xml:space="preserve">on </w:t>
      </w:r>
      <w:r w:rsidR="00AC05FE" w:rsidRPr="009E7178">
        <w:t xml:space="preserve">other </w:t>
      </w:r>
      <w:r w:rsidR="00440713" w:rsidRPr="009E7178">
        <w:t>third-party</w:t>
      </w:r>
      <w:r w:rsidR="00AC05FE" w:rsidRPr="009E7178">
        <w:t xml:space="preserve"> sources</w:t>
      </w:r>
      <w:r w:rsidR="0022216C" w:rsidRPr="009E7178">
        <w:t xml:space="preserve"> if they are available</w:t>
      </w:r>
      <w:r w:rsidR="00343369" w:rsidRPr="009E7178">
        <w:rPr>
          <w:rStyle w:val="FootnoteReference"/>
          <w:kern w:val="2"/>
        </w:rPr>
        <w:footnoteReference w:id="13"/>
      </w:r>
      <w:r w:rsidRPr="009E7178">
        <w:t>.</w:t>
      </w:r>
      <w:bookmarkEnd w:id="21"/>
      <w:r w:rsidR="0022216C" w:rsidRPr="009E7178">
        <w:t xml:space="preserve"> The Company, being </w:t>
      </w:r>
      <w:r w:rsidR="00983725" w:rsidRPr="009E7178">
        <w:t>the</w:t>
      </w:r>
      <w:r w:rsidR="0022216C" w:rsidRPr="009E7178">
        <w:t xml:space="preserve"> </w:t>
      </w:r>
      <w:r w:rsidR="00983725" w:rsidRPr="009E7178">
        <w:t>Distributor</w:t>
      </w:r>
      <w:r w:rsidR="0022216C" w:rsidRPr="009E7178">
        <w:t>, periodically review</w:t>
      </w:r>
      <w:r w:rsidR="00C724EE" w:rsidRPr="009E7178">
        <w:t>s</w:t>
      </w:r>
      <w:r w:rsidR="0022216C" w:rsidRPr="009E7178">
        <w:t xml:space="preserve"> the products it offers and recommends to its clients ensuring that there is no updated information from the Manufacturer(s) in relation to the needs, characteristics, and objectives, which includes any </w:t>
      </w:r>
      <w:r w:rsidR="0022216C" w:rsidRPr="009E7178">
        <w:rPr>
          <w:kern w:val="2"/>
        </w:rPr>
        <w:t>sustainability</w:t>
      </w:r>
      <w:r w:rsidR="0022216C" w:rsidRPr="009E7178">
        <w:t xml:space="preserve"> related objectives, of the target market.</w:t>
      </w:r>
      <w:bookmarkEnd w:id="22"/>
    </w:p>
    <w:p w14:paraId="7CCCB78B" w14:textId="501B4C12" w:rsidR="00AF16AE" w:rsidRPr="009E7178" w:rsidRDefault="00D64D5F" w:rsidP="00A93E1B">
      <w:pPr>
        <w:pStyle w:val="a0"/>
      </w:pPr>
      <w:r w:rsidRPr="009E7178">
        <w:t xml:space="preserve">It is presumed that the Company is not the author or </w:t>
      </w:r>
      <w:r w:rsidR="00FA1D92" w:rsidRPr="009E7178">
        <w:t xml:space="preserve">a </w:t>
      </w:r>
      <w:r w:rsidR="00323F68" w:rsidRPr="009E7178">
        <w:t>first-hand</w:t>
      </w:r>
      <w:r w:rsidRPr="009E7178">
        <w:t xml:space="preserve"> source of </w:t>
      </w:r>
      <w:r w:rsidR="00FA1D92" w:rsidRPr="009E7178">
        <w:rPr>
          <w:kern w:val="2"/>
        </w:rPr>
        <w:t>sustainability disclosures</w:t>
      </w:r>
      <w:r w:rsidR="00A13056" w:rsidRPr="009E7178">
        <w:rPr>
          <w:kern w:val="2"/>
        </w:rPr>
        <w:t xml:space="preserve"> with respect to a financial instrument</w:t>
      </w:r>
      <w:r w:rsidR="00AF16AE" w:rsidRPr="009E7178">
        <w:rPr>
          <w:kern w:val="2"/>
        </w:rPr>
        <w:t xml:space="preserve"> or its issuer</w:t>
      </w:r>
      <w:r w:rsidRPr="009E7178">
        <w:t>.</w:t>
      </w:r>
      <w:r w:rsidR="00323F68" w:rsidRPr="009E7178">
        <w:t xml:space="preserve"> </w:t>
      </w:r>
      <w:r w:rsidRPr="009E7178">
        <w:t xml:space="preserve">The Company </w:t>
      </w:r>
      <w:r w:rsidR="00323F68" w:rsidRPr="009E7178">
        <w:t xml:space="preserve">relies on statements, assessments and declarations of third parties on sustainability </w:t>
      </w:r>
      <w:r w:rsidR="00AF16AE" w:rsidRPr="009E7178">
        <w:t xml:space="preserve">disclosures </w:t>
      </w:r>
      <w:r w:rsidR="00323F68" w:rsidRPr="009E7178">
        <w:t xml:space="preserve">on </w:t>
      </w:r>
      <w:r w:rsidR="00323F68" w:rsidRPr="009E7178">
        <w:rPr>
          <w:kern w:val="2"/>
        </w:rPr>
        <w:t>a financial instrument</w:t>
      </w:r>
      <w:r w:rsidR="00AF16AE" w:rsidRPr="009E7178">
        <w:rPr>
          <w:kern w:val="2"/>
        </w:rPr>
        <w:t xml:space="preserve"> or its issuer</w:t>
      </w:r>
      <w:r w:rsidRPr="009E7178">
        <w:t>.</w:t>
      </w:r>
      <w:r w:rsidR="00323F68" w:rsidRPr="009E7178">
        <w:t xml:space="preserve"> The Company does not guarantee the </w:t>
      </w:r>
      <w:r w:rsidR="00323F68" w:rsidRPr="009E7178">
        <w:rPr>
          <w:rStyle w:val="Emphasis"/>
          <w:i w:val="0"/>
        </w:rPr>
        <w:t>veracity</w:t>
      </w:r>
      <w:r w:rsidR="00323F68" w:rsidRPr="009E7178">
        <w:t>, completeness and relevance of</w:t>
      </w:r>
      <w:r w:rsidR="0022216C" w:rsidRPr="009E7178">
        <w:t xml:space="preserve"> </w:t>
      </w:r>
      <w:r w:rsidR="00323F68" w:rsidRPr="009E7178">
        <w:t>such information.</w:t>
      </w:r>
      <w:r w:rsidR="00AF16AE" w:rsidRPr="009E7178">
        <w:t xml:space="preserve"> The Company does not add whether assessing third parties are independent from the Manufacturer </w:t>
      </w:r>
      <w:r w:rsidR="004E1C2B" w:rsidRPr="009E7178">
        <w:t xml:space="preserve">or </w:t>
      </w:r>
      <w:r w:rsidR="00AF16AE" w:rsidRPr="009E7178">
        <w:t>the Distributor of the financial instrument</w:t>
      </w:r>
      <w:r w:rsidR="00467D57" w:rsidRPr="009E7178">
        <w:t>, unless such information is present in the assessments</w:t>
      </w:r>
      <w:r w:rsidR="00AF16AE" w:rsidRPr="009E7178">
        <w:t>.</w:t>
      </w:r>
    </w:p>
    <w:p w14:paraId="1FAB395F" w14:textId="57505296" w:rsidR="005C0A83" w:rsidRPr="009E7178" w:rsidRDefault="0022216C" w:rsidP="00A93E1B">
      <w:pPr>
        <w:pStyle w:val="a0"/>
      </w:pPr>
      <w:r w:rsidRPr="009E7178">
        <w:t xml:space="preserve">The Manufacturers are the ones that </w:t>
      </w:r>
      <w:r w:rsidR="00825D52" w:rsidRPr="009E7178">
        <w:t xml:space="preserve">bear </w:t>
      </w:r>
      <w:r w:rsidRPr="009E7178">
        <w:t>the responsibility to include any</w:t>
      </w:r>
      <w:r w:rsidR="00E3741E" w:rsidRPr="009E7178">
        <w:t xml:space="preserve"> adequate and reliable</w:t>
      </w:r>
      <w:r w:rsidRPr="009E7178">
        <w:t xml:space="preserve"> sustainability</w:t>
      </w:r>
      <w:r w:rsidR="00825D52" w:rsidRPr="009E7178">
        <w:t>-</w:t>
      </w:r>
      <w:r w:rsidRPr="009E7178">
        <w:t xml:space="preserve">related information in </w:t>
      </w:r>
      <w:r w:rsidR="00E3741E" w:rsidRPr="009E7178">
        <w:t xml:space="preserve">an </w:t>
      </w:r>
      <w:r w:rsidRPr="009E7178">
        <w:t>analysis</w:t>
      </w:r>
      <w:r w:rsidR="00BC716E" w:rsidRPr="009E7178">
        <w:t xml:space="preserve"> of a financial instrument</w:t>
      </w:r>
      <w:r w:rsidRPr="009E7178">
        <w:t>. The Company may seek about this information from the Manufacturers</w:t>
      </w:r>
      <w:r w:rsidR="002D3A9F" w:rsidRPr="009E7178">
        <w:t>, Distributors</w:t>
      </w:r>
      <w:r w:rsidR="00AF16AE" w:rsidRPr="009E7178">
        <w:t xml:space="preserve"> and third parties</w:t>
      </w:r>
      <w:r w:rsidRPr="009E7178">
        <w:t xml:space="preserve"> and rely on this information as </w:t>
      </w:r>
      <w:r w:rsidR="002D3A9F" w:rsidRPr="009E7178">
        <w:t xml:space="preserve">adequate </w:t>
      </w:r>
      <w:r w:rsidR="00323F68" w:rsidRPr="009E7178">
        <w:t>in the course of assessment</w:t>
      </w:r>
      <w:r w:rsidR="00E3741E" w:rsidRPr="009E7178">
        <w:t xml:space="preserve"> of the financial instrument</w:t>
      </w:r>
      <w:r w:rsidR="005C0A83" w:rsidRPr="009E7178">
        <w:t>.</w:t>
      </w:r>
    </w:p>
    <w:p w14:paraId="6DC9E8F0" w14:textId="3EFAB205" w:rsidR="004A2EFB" w:rsidRPr="009E7178" w:rsidRDefault="00D71164" w:rsidP="009A7B3E">
      <w:pPr>
        <w:pStyle w:val="Listlevel2"/>
      </w:pPr>
      <w:bookmarkStart w:id="23" w:name="_Ref131094444"/>
      <w:r w:rsidRPr="009E7178">
        <w:t>The Company may ask the client if he has any particular sustainability preferences</w:t>
      </w:r>
      <w:r w:rsidR="0015685A" w:rsidRPr="009E7178">
        <w:t xml:space="preserve"> (defined in Section </w:t>
      </w:r>
      <w:r w:rsidR="00F152B7" w:rsidRPr="009E7178">
        <w:fldChar w:fldCharType="begin"/>
      </w:r>
      <w:r w:rsidR="00F152B7" w:rsidRPr="009E7178">
        <w:instrText xml:space="preserve"> REF _Ref130824800 \r \h </w:instrText>
      </w:r>
      <w:r w:rsidR="009E7178">
        <w:instrText xml:space="preserve"> \* MERGEFORMAT </w:instrText>
      </w:r>
      <w:r w:rsidR="00F152B7" w:rsidRPr="009E7178">
        <w:fldChar w:fldCharType="separate"/>
      </w:r>
      <w:r w:rsidR="000E7C0F">
        <w:t>1.1</w:t>
      </w:r>
      <w:r w:rsidR="00F152B7" w:rsidRPr="009E7178">
        <w:fldChar w:fldCharType="end"/>
      </w:r>
      <w:r w:rsidR="0015685A" w:rsidRPr="009E7178">
        <w:t>)</w:t>
      </w:r>
      <w:r w:rsidRPr="009E7178">
        <w:t xml:space="preserve"> or whether</w:t>
      </w:r>
      <w:r w:rsidR="003D36EC" w:rsidRPr="009E7178">
        <w:t xml:space="preserve"> he</w:t>
      </w:r>
      <w:r w:rsidRPr="009E7178">
        <w:t xml:space="preserve"> is</w:t>
      </w:r>
      <w:r w:rsidR="008223FC" w:rsidRPr="009E7178">
        <w:t xml:space="preserve"> indifferent</w:t>
      </w:r>
      <w:r w:rsidR="008223FC" w:rsidRPr="009E7178">
        <w:rPr>
          <w:lang w:val="ru-RU"/>
        </w:rPr>
        <w:t xml:space="preserve"> </w:t>
      </w:r>
      <w:r w:rsidR="008223FC" w:rsidRPr="009E7178">
        <w:t>towards ESG</w:t>
      </w:r>
      <w:r w:rsidR="00534A54" w:rsidRPr="009E7178">
        <w:t xml:space="preserve"> objectives (</w:t>
      </w:r>
      <w:r w:rsidRPr="009E7178">
        <w:t>sustainability neutral</w:t>
      </w:r>
      <w:r w:rsidR="00534A54" w:rsidRPr="009E7178">
        <w:t>)</w:t>
      </w:r>
      <w:r w:rsidRPr="009E7178">
        <w:t xml:space="preserve">. </w:t>
      </w:r>
      <w:r w:rsidR="00867096" w:rsidRPr="009E7178">
        <w:t xml:space="preserve">The </w:t>
      </w:r>
      <w:r w:rsidRPr="009E7178">
        <w:t>Company has to collect more information</w:t>
      </w:r>
      <w:r w:rsidR="00867096" w:rsidRPr="009E7178">
        <w:t xml:space="preserve"> on sustainability preferences</w:t>
      </w:r>
      <w:r w:rsidR="002D3A9F" w:rsidRPr="009E7178">
        <w:t xml:space="preserve"> (if any)</w:t>
      </w:r>
      <w:r w:rsidR="00867096" w:rsidRPr="009E7178">
        <w:rPr>
          <w:lang w:val="ru-RU"/>
        </w:rPr>
        <w:t xml:space="preserve"> </w:t>
      </w:r>
      <w:r w:rsidR="00867096" w:rsidRPr="009E7178">
        <w:t>of a client</w:t>
      </w:r>
      <w:r w:rsidR="000D0F65" w:rsidRPr="009E7178">
        <w:t xml:space="preserve"> at</w:t>
      </w:r>
      <w:r w:rsidR="004A2EFB" w:rsidRPr="009E7178">
        <w:t>:</w:t>
      </w:r>
    </w:p>
    <w:p w14:paraId="3AD36E10" w14:textId="66C5E83F" w:rsidR="004A2EFB" w:rsidRPr="009E7178" w:rsidRDefault="004A2EFB" w:rsidP="004A2EFB">
      <w:pPr>
        <w:pStyle w:val="Listlevel3"/>
      </w:pPr>
      <w:r w:rsidRPr="009E7178">
        <w:t>the onboarding stage of a potential new client;</w:t>
      </w:r>
    </w:p>
    <w:p w14:paraId="1BECED4C" w14:textId="58BA16E7" w:rsidR="005C0A83" w:rsidRPr="009E7178" w:rsidRDefault="004A2EFB" w:rsidP="004A2EFB">
      <w:pPr>
        <w:pStyle w:val="Listlevel3"/>
      </w:pPr>
      <w:r w:rsidRPr="009E7178">
        <w:t>at any time upon request of an existing client.</w:t>
      </w:r>
      <w:bookmarkEnd w:id="23"/>
    </w:p>
    <w:p w14:paraId="11BF548A" w14:textId="164B09AC" w:rsidR="001B021C" w:rsidRPr="009E7178" w:rsidRDefault="001B021C" w:rsidP="004A2EFB">
      <w:pPr>
        <w:pStyle w:val="Listlevel2"/>
      </w:pPr>
      <w:r w:rsidRPr="009E7178">
        <w:t>The Company must explain to the client</w:t>
      </w:r>
      <w:r w:rsidR="009419DE" w:rsidRPr="009E7178">
        <w:t>, upon his request,</w:t>
      </w:r>
      <w:r w:rsidRPr="009E7178">
        <w:t xml:space="preserve"> available sustainability </w:t>
      </w:r>
      <w:r w:rsidR="00AF16AE" w:rsidRPr="009E7178">
        <w:t xml:space="preserve">disclosures </w:t>
      </w:r>
      <w:r w:rsidR="00DA58A0" w:rsidRPr="009E7178">
        <w:t>and ESG benchmark</w:t>
      </w:r>
      <w:r w:rsidR="00AF16AE" w:rsidRPr="009E7178">
        <w:t>s</w:t>
      </w:r>
      <w:r w:rsidR="00DA58A0" w:rsidRPr="009E7178">
        <w:t xml:space="preserve"> </w:t>
      </w:r>
      <w:r w:rsidRPr="009E7178">
        <w:t>on a financial instrument.</w:t>
      </w:r>
      <w:r w:rsidR="00F9417F" w:rsidRPr="009E7178">
        <w:t xml:space="preserve"> The Company takes all reasonable measures to make sustainability d</w:t>
      </w:r>
      <w:r w:rsidR="00DA58A0" w:rsidRPr="009E7178">
        <w:t xml:space="preserve">isclosures </w:t>
      </w:r>
      <w:r w:rsidR="00F9417F" w:rsidRPr="009E7178">
        <w:t>accessible, clearly presented and explained to the client.</w:t>
      </w:r>
    </w:p>
    <w:p w14:paraId="741AFF88" w14:textId="328C3100" w:rsidR="001B021C" w:rsidRPr="009E7178" w:rsidRDefault="001B021C" w:rsidP="001B021C">
      <w:pPr>
        <w:pStyle w:val="a0"/>
      </w:pPr>
      <w:r w:rsidRPr="009E7178">
        <w:t xml:space="preserve">If there are no sustainability disclosures with respect to a financial instrument or they are not sufficient the Company will not analyse </w:t>
      </w:r>
      <w:r w:rsidR="005769F9" w:rsidRPr="009E7178">
        <w:t xml:space="preserve">on its own </w:t>
      </w:r>
      <w:r w:rsidRPr="009E7178">
        <w:t>the financial instrument against criteria</w:t>
      </w:r>
      <w:r w:rsidR="00F152B7" w:rsidRPr="009E7178">
        <w:t xml:space="preserve"> </w:t>
      </w:r>
      <w:r w:rsidR="005769F9" w:rsidRPr="009E7178">
        <w:t xml:space="preserve">of environmentally sustainable investment </w:t>
      </w:r>
      <w:r w:rsidR="00F152B7" w:rsidRPr="009E7178">
        <w:t>set out in Section </w:t>
      </w:r>
      <w:r w:rsidR="00F152B7" w:rsidRPr="009E7178">
        <w:fldChar w:fldCharType="begin"/>
      </w:r>
      <w:r w:rsidR="00F152B7" w:rsidRPr="009E7178">
        <w:instrText xml:space="preserve"> REF _Ref130824512 \r \h </w:instrText>
      </w:r>
      <w:r w:rsidR="009E7178">
        <w:instrText xml:space="preserve"> \* MERGEFORMAT </w:instrText>
      </w:r>
      <w:r w:rsidR="00F152B7" w:rsidRPr="009E7178">
        <w:fldChar w:fldCharType="separate"/>
      </w:r>
      <w:r w:rsidR="000E7C0F">
        <w:t>5.8</w:t>
      </w:r>
      <w:r w:rsidR="00F152B7" w:rsidRPr="009E7178">
        <w:fldChar w:fldCharType="end"/>
      </w:r>
      <w:r w:rsidRPr="009E7178">
        <w:t>.</w:t>
      </w:r>
      <w:r w:rsidR="005769F9" w:rsidRPr="009E7178">
        <w:t xml:space="preserve"> </w:t>
      </w:r>
      <w:r w:rsidRPr="009E7178">
        <w:t xml:space="preserve">In such </w:t>
      </w:r>
      <w:r w:rsidR="004C089B" w:rsidRPr="009E7178">
        <w:t>case,</w:t>
      </w:r>
      <w:r w:rsidRPr="009E7178">
        <w:t xml:space="preserve"> the financial instrument is deemed as </w:t>
      </w:r>
      <w:r w:rsidRPr="009E7178">
        <w:rPr>
          <w:i/>
        </w:rPr>
        <w:t xml:space="preserve">not meeting </w:t>
      </w:r>
      <w:r w:rsidR="00F152B7" w:rsidRPr="009E7178">
        <w:rPr>
          <w:i/>
        </w:rPr>
        <w:t xml:space="preserve">such </w:t>
      </w:r>
      <w:r w:rsidRPr="009E7178">
        <w:rPr>
          <w:i/>
        </w:rPr>
        <w:t>criteria</w:t>
      </w:r>
      <w:r w:rsidRPr="009E7178">
        <w:t>.</w:t>
      </w:r>
    </w:p>
    <w:p w14:paraId="4AC9F699" w14:textId="77777777" w:rsidR="001B021C" w:rsidRPr="009E7178" w:rsidRDefault="001B021C" w:rsidP="001B021C">
      <w:pPr>
        <w:pStyle w:val="a0"/>
      </w:pPr>
      <w:r w:rsidRPr="009E7178">
        <w:t>The Company may not be held liable for a transaction with a financial instrument which falls short of client’s sustainability preferences, provided that:</w:t>
      </w:r>
    </w:p>
    <w:p w14:paraId="41061E87" w14:textId="77777777" w:rsidR="001B021C" w:rsidRPr="009E7178" w:rsidRDefault="001B021C" w:rsidP="001B021C">
      <w:pPr>
        <w:pStyle w:val="Listlevel3"/>
      </w:pPr>
      <w:r w:rsidRPr="009E7178">
        <w:t>the financial instrument has no sustainability disclosures sufficient enough to definitely establish its sustainability-related characteristics;</w:t>
      </w:r>
    </w:p>
    <w:p w14:paraId="22CDFDCE" w14:textId="43C4FA5E" w:rsidR="001B021C" w:rsidRPr="009E7178" w:rsidRDefault="001B021C" w:rsidP="001B021C">
      <w:pPr>
        <w:pStyle w:val="Listlevel3"/>
      </w:pPr>
      <w:r w:rsidRPr="009E7178">
        <w:t>the financial instrument ceased to comply with sustainability requirements of a client after the transaction</w:t>
      </w:r>
      <w:r w:rsidR="00203329" w:rsidRPr="009E7178">
        <w:t xml:space="preserve"> (</w:t>
      </w:r>
      <w:r w:rsidR="00EA1ACC" w:rsidRPr="009E7178">
        <w:t xml:space="preserve">sustainability claims that don’t stand up to scrutiny (greenwashing), </w:t>
      </w:r>
      <w:r w:rsidR="007107EB" w:rsidRPr="009E7178">
        <w:t xml:space="preserve">instrument </w:t>
      </w:r>
      <w:r w:rsidR="00203329" w:rsidRPr="009E7178">
        <w:t>reassessment, update of benchmark, etc</w:t>
      </w:r>
      <w:r w:rsidR="00430A59" w:rsidRPr="009E7178">
        <w:t>.</w:t>
      </w:r>
      <w:r w:rsidR="00203329" w:rsidRPr="009E7178">
        <w:t>)</w:t>
      </w:r>
      <w:r w:rsidRPr="009E7178">
        <w:t>;</w:t>
      </w:r>
    </w:p>
    <w:p w14:paraId="538E9CBB" w14:textId="77777777" w:rsidR="001B021C" w:rsidRPr="009E7178" w:rsidRDefault="001B021C" w:rsidP="001B021C">
      <w:pPr>
        <w:pStyle w:val="Listlevel3"/>
      </w:pPr>
      <w:r w:rsidRPr="009E7178">
        <w:lastRenderedPageBreak/>
        <w:t>the financial instrument provides interest in an undertaking for collective investments in transferable securities (UCITS), exchange traded funds (ETF), other funds or structured products</w:t>
      </w:r>
      <w:r w:rsidRPr="009E7178">
        <w:rPr>
          <w:rStyle w:val="FootnoteReference"/>
          <w:bCs w:val="0"/>
        </w:rPr>
        <w:footnoteReference w:id="14"/>
      </w:r>
      <w:r w:rsidRPr="009E7178">
        <w:t>;</w:t>
      </w:r>
    </w:p>
    <w:p w14:paraId="211F840F" w14:textId="474095E8" w:rsidR="001B021C" w:rsidRPr="009E7178" w:rsidRDefault="001B021C" w:rsidP="001B021C">
      <w:pPr>
        <w:pStyle w:val="Listlevel3"/>
      </w:pPr>
      <w:r w:rsidRPr="009E7178">
        <w:t xml:space="preserve">a client filed an order to make the transaction with a financial instrument, which does not meet client’s sustainability preferences, and the order does not unequivocally require </w:t>
      </w:r>
      <w:r w:rsidR="00203329" w:rsidRPr="009E7178">
        <w:t>observance</w:t>
      </w:r>
      <w:r w:rsidRPr="009E7178">
        <w:t xml:space="preserve"> of the </w:t>
      </w:r>
      <w:r w:rsidR="00203329" w:rsidRPr="009E7178">
        <w:t>preferences</w:t>
      </w:r>
      <w:r w:rsidR="008D78EE" w:rsidRPr="009E7178">
        <w:t xml:space="preserve"> (Section </w:t>
      </w:r>
      <w:r w:rsidR="008D78EE" w:rsidRPr="009E7178">
        <w:fldChar w:fldCharType="begin"/>
      </w:r>
      <w:r w:rsidR="008D78EE" w:rsidRPr="009E7178">
        <w:instrText xml:space="preserve"> REF _Ref131607574 \w \h </w:instrText>
      </w:r>
      <w:r w:rsidR="009E7178">
        <w:instrText xml:space="preserve"> \* MERGEFORMAT </w:instrText>
      </w:r>
      <w:r w:rsidR="008D78EE" w:rsidRPr="009E7178">
        <w:fldChar w:fldCharType="separate"/>
      </w:r>
      <w:r w:rsidR="000E7C0F">
        <w:t>10.5</w:t>
      </w:r>
      <w:r w:rsidR="008D78EE" w:rsidRPr="009E7178">
        <w:fldChar w:fldCharType="end"/>
      </w:r>
      <w:r w:rsidR="008D78EE" w:rsidRPr="009E7178">
        <w:t>)</w:t>
      </w:r>
      <w:r w:rsidRPr="009E7178">
        <w:t>;</w:t>
      </w:r>
    </w:p>
    <w:p w14:paraId="5119E9EC" w14:textId="77777777" w:rsidR="001B021C" w:rsidRPr="009E7178" w:rsidRDefault="001B021C" w:rsidP="001B021C">
      <w:pPr>
        <w:pStyle w:val="Listlevel3"/>
      </w:pPr>
      <w:r w:rsidRPr="009E7178">
        <w:t>a client made a trade through a direct electronic or market access;</w:t>
      </w:r>
    </w:p>
    <w:p w14:paraId="6A2FDE98" w14:textId="42B72245" w:rsidR="001B021C" w:rsidRPr="009E7178" w:rsidRDefault="001B021C" w:rsidP="001B021C">
      <w:pPr>
        <w:pStyle w:val="Listlevel3"/>
      </w:pPr>
      <w:r w:rsidRPr="009E7178">
        <w:t>the transaction is made in the course of high-frequency or other a</w:t>
      </w:r>
      <w:r w:rsidR="003C2C3B" w:rsidRPr="009E7178">
        <w:t>lgorithmic trading technique;</w:t>
      </w:r>
    </w:p>
    <w:p w14:paraId="62D573AA" w14:textId="6CAF8532" w:rsidR="003C2C3B" w:rsidRPr="009E7178" w:rsidRDefault="001B021C" w:rsidP="001B021C">
      <w:pPr>
        <w:pStyle w:val="Listlevel3"/>
      </w:pPr>
      <w:r w:rsidRPr="009E7178">
        <w:t>the client executed or the Company as part of the Portfolio Management strategy executed a transaction for hedging purposes or other market related reasons</w:t>
      </w:r>
      <w:r w:rsidR="003C2C3B" w:rsidRPr="009E7178">
        <w:t>; or</w:t>
      </w:r>
    </w:p>
    <w:p w14:paraId="497B6195" w14:textId="13C3B502" w:rsidR="001B021C" w:rsidRPr="009E7178" w:rsidRDefault="003C2C3B" w:rsidP="001B021C">
      <w:pPr>
        <w:pStyle w:val="Listlevel3"/>
      </w:pPr>
      <w:r w:rsidRPr="009E7178">
        <w:t>the Company and/or the client relied on sustainability disclosures by the Manufacturer or, absent which, on other third-party sources (Section </w:t>
      </w:r>
      <w:r w:rsidRPr="009E7178">
        <w:fldChar w:fldCharType="begin"/>
      </w:r>
      <w:r w:rsidRPr="009E7178">
        <w:instrText xml:space="preserve"> REF _Ref130825086 \r \h </w:instrText>
      </w:r>
      <w:r w:rsidR="009E7178">
        <w:instrText xml:space="preserve"> \* MERGEFORMAT </w:instrText>
      </w:r>
      <w:r w:rsidRPr="009E7178">
        <w:fldChar w:fldCharType="separate"/>
      </w:r>
      <w:r w:rsidR="000E7C0F">
        <w:t>5.4</w:t>
      </w:r>
      <w:r w:rsidRPr="009E7178">
        <w:fldChar w:fldCharType="end"/>
      </w:r>
      <w:r w:rsidRPr="009E7178">
        <w:t>)</w:t>
      </w:r>
      <w:r w:rsidR="00203329" w:rsidRPr="009E7178">
        <w:t xml:space="preserve">, which at the time of </w:t>
      </w:r>
      <w:r w:rsidR="002553C1" w:rsidRPr="009E7178">
        <w:t>the</w:t>
      </w:r>
      <w:r w:rsidR="00203329" w:rsidRPr="009E7178">
        <w:t xml:space="preserve"> transaction fulfilled client’s sustainability preferences</w:t>
      </w:r>
      <w:r w:rsidRPr="009E7178">
        <w:t>.</w:t>
      </w:r>
    </w:p>
    <w:p w14:paraId="4347A375" w14:textId="40F68228" w:rsidR="005C0A83" w:rsidRPr="009E7178" w:rsidRDefault="00FE1822" w:rsidP="006940EA">
      <w:pPr>
        <w:pStyle w:val="Listlevel2"/>
      </w:pPr>
      <w:r w:rsidRPr="009E7178">
        <w:t>The SFDR categorizes financial products according to the degree of sustainability related ambition for that product</w:t>
      </w:r>
      <w:r w:rsidR="005C0A83" w:rsidRPr="009E7178">
        <w:t>.</w:t>
      </w:r>
    </w:p>
    <w:p w14:paraId="4A5CC11E" w14:textId="5603CB64" w:rsidR="005C0A83" w:rsidRPr="009E7178" w:rsidRDefault="0015685A" w:rsidP="00A93E1B">
      <w:pPr>
        <w:pStyle w:val="Listlevel3"/>
      </w:pPr>
      <w:r w:rsidRPr="009E7178">
        <w:t xml:space="preserve">products set out in </w:t>
      </w:r>
      <w:r w:rsidR="005C6A7C" w:rsidRPr="009E7178">
        <w:t>Article </w:t>
      </w:r>
      <w:r w:rsidR="00FE1822" w:rsidRPr="009E7178">
        <w:t>6</w:t>
      </w:r>
      <w:r w:rsidRPr="009E7178">
        <w:t xml:space="preserve"> of the SFDR</w:t>
      </w:r>
      <w:r w:rsidR="00FE1822" w:rsidRPr="009E7178">
        <w:t xml:space="preserve"> </w:t>
      </w:r>
      <w:r w:rsidR="00FE1822" w:rsidRPr="009E7178">
        <w:rPr>
          <w:b/>
        </w:rPr>
        <w:t xml:space="preserve">do not pursue </w:t>
      </w:r>
      <w:r w:rsidR="00FE1822" w:rsidRPr="009E7178">
        <w:rPr>
          <w:b/>
          <w:i/>
        </w:rPr>
        <w:t>sustainable investment</w:t>
      </w:r>
      <w:r w:rsidR="00CF6365" w:rsidRPr="009E7178">
        <w:rPr>
          <w:b/>
        </w:rPr>
        <w:t xml:space="preserve"> </w:t>
      </w:r>
      <w:r w:rsidR="00FE1822" w:rsidRPr="009E7178">
        <w:t xml:space="preserve">but may or may not integrate </w:t>
      </w:r>
      <w:r w:rsidR="00313589" w:rsidRPr="009E7178">
        <w:rPr>
          <w:i/>
        </w:rPr>
        <w:t>sustainability risk</w:t>
      </w:r>
      <w:r w:rsidR="00CF6365" w:rsidRPr="009E7178">
        <w:t xml:space="preserve"> (</w:t>
      </w:r>
      <w:r w:rsidR="00260981" w:rsidRPr="009E7178">
        <w:t xml:space="preserve">both terms </w:t>
      </w:r>
      <w:r w:rsidR="00CF6365" w:rsidRPr="009E7178">
        <w:t>defined in Section </w:t>
      </w:r>
      <w:r w:rsidR="00CF6365" w:rsidRPr="009E7178">
        <w:fldChar w:fldCharType="begin"/>
      </w:r>
      <w:r w:rsidR="00CF6365" w:rsidRPr="009E7178">
        <w:instrText xml:space="preserve"> REF _Ref130824800 \r \h </w:instrText>
      </w:r>
      <w:r w:rsidR="009E7178">
        <w:instrText xml:space="preserve"> \* MERGEFORMAT </w:instrText>
      </w:r>
      <w:r w:rsidR="00CF6365" w:rsidRPr="009E7178">
        <w:fldChar w:fldCharType="separate"/>
      </w:r>
      <w:r w:rsidR="000E7C0F">
        <w:t>1.1</w:t>
      </w:r>
      <w:r w:rsidR="00CF6365" w:rsidRPr="009E7178">
        <w:fldChar w:fldCharType="end"/>
      </w:r>
      <w:r w:rsidR="00CF6365" w:rsidRPr="009E7178">
        <w:t>)</w:t>
      </w:r>
      <w:r w:rsidR="00313589" w:rsidRPr="009E7178">
        <w:t xml:space="preserve"> </w:t>
      </w:r>
      <w:r w:rsidR="00FE1822" w:rsidRPr="009E7178">
        <w:t>into the investment process. These are generally not marketed as having any sustainability credentials</w:t>
      </w:r>
      <w:r w:rsidR="005C0A83" w:rsidRPr="009E7178">
        <w:t>.</w:t>
      </w:r>
    </w:p>
    <w:p w14:paraId="5E0D99E5" w14:textId="3F2EFF29" w:rsidR="005C0A83" w:rsidRPr="009E7178" w:rsidRDefault="0015685A" w:rsidP="00A93E1B">
      <w:pPr>
        <w:pStyle w:val="Listlevel3"/>
      </w:pPr>
      <w:r w:rsidRPr="009E7178">
        <w:t xml:space="preserve">products set out in </w:t>
      </w:r>
      <w:r w:rsidR="005C6A7C" w:rsidRPr="009E7178">
        <w:t>Article </w:t>
      </w:r>
      <w:r w:rsidR="00FE1822" w:rsidRPr="009E7178">
        <w:t xml:space="preserve">9 </w:t>
      </w:r>
      <w:r w:rsidRPr="009E7178">
        <w:t xml:space="preserve">of the SFDR </w:t>
      </w:r>
      <w:r w:rsidR="00FE1822" w:rsidRPr="009E7178">
        <w:t>(often referred to as dark green products) have sustainable investment as an objective and their underlying assets will always be in sustainable investment</w:t>
      </w:r>
      <w:r w:rsidR="005C0A83" w:rsidRPr="009E7178">
        <w:t>.</w:t>
      </w:r>
    </w:p>
    <w:p w14:paraId="4DA6E192" w14:textId="08090788" w:rsidR="00FE1822" w:rsidRPr="009E7178" w:rsidRDefault="0015685A" w:rsidP="00A93E1B">
      <w:pPr>
        <w:pStyle w:val="Listlevel3"/>
      </w:pPr>
      <w:r w:rsidRPr="009E7178">
        <w:t xml:space="preserve">products set out in </w:t>
      </w:r>
      <w:r w:rsidR="005C6A7C" w:rsidRPr="009E7178">
        <w:t>Article </w:t>
      </w:r>
      <w:r w:rsidR="00FE1822" w:rsidRPr="009E7178">
        <w:t xml:space="preserve">8 </w:t>
      </w:r>
      <w:r w:rsidRPr="009E7178">
        <w:t xml:space="preserve">of the SFDR </w:t>
      </w:r>
      <w:r w:rsidR="00FE1822" w:rsidRPr="009E7178">
        <w:t>sit between the</w:t>
      </w:r>
      <w:r w:rsidR="00A41D32" w:rsidRPr="009E7178">
        <w:t>se</w:t>
      </w:r>
      <w:r w:rsidR="00FE1822" w:rsidRPr="009E7178">
        <w:t xml:space="preserve"> two categories and are those </w:t>
      </w:r>
      <w:r w:rsidR="00A41D32" w:rsidRPr="009E7178">
        <w:t xml:space="preserve">products </w:t>
      </w:r>
      <w:r w:rsidR="00FE1822" w:rsidRPr="009E7178">
        <w:t>that promote environmental or social characteristics. They may or may not pursue sustainable investments and may invest in a wide range or underlying assets.</w:t>
      </w:r>
    </w:p>
    <w:p w14:paraId="09359A60" w14:textId="6333A179" w:rsidR="0015685A" w:rsidRPr="009E7178" w:rsidRDefault="00FB2DE4" w:rsidP="00B1458A">
      <w:pPr>
        <w:pStyle w:val="Listlevel2"/>
      </w:pPr>
      <w:r w:rsidRPr="009E7178">
        <w:rPr>
          <w:u w:val="single"/>
        </w:rPr>
        <w:t>Criteria for environmentally sustainable economic activities</w:t>
      </w:r>
      <w:r w:rsidR="0015685A" w:rsidRPr="009E7178">
        <w:t xml:space="preserve">. </w:t>
      </w:r>
      <w:bookmarkStart w:id="24" w:name="_Ref130824512"/>
      <w:r w:rsidRPr="009E7178">
        <w:t>For the purposes of establishing the degree to which an investment is environmentally sustainable</w:t>
      </w:r>
      <w:r w:rsidR="005769F9" w:rsidRPr="009E7178">
        <w:t xml:space="preserve"> investment</w:t>
      </w:r>
      <w:r w:rsidRPr="009E7178">
        <w:t xml:space="preserve">, an economic activity shall qualify as </w:t>
      </w:r>
      <w:r w:rsidR="002D3A9F" w:rsidRPr="009E7178">
        <w:t>such</w:t>
      </w:r>
      <w:r w:rsidRPr="009E7178">
        <w:t xml:space="preserve"> where that economic activity:</w:t>
      </w:r>
      <w:bookmarkEnd w:id="24"/>
    </w:p>
    <w:p w14:paraId="33B5A6D6" w14:textId="4EC69558" w:rsidR="005C0A83" w:rsidRPr="009E7178" w:rsidRDefault="00FB2DE4" w:rsidP="00A93E1B">
      <w:pPr>
        <w:pStyle w:val="Listlevel3"/>
      </w:pPr>
      <w:r w:rsidRPr="009E7178">
        <w:t xml:space="preserve">contributes substantially to one or more of the environmental objectives set out in </w:t>
      </w:r>
      <w:r w:rsidR="005C6A7C" w:rsidRPr="009E7178">
        <w:t>Article </w:t>
      </w:r>
      <w:r w:rsidRPr="009E7178">
        <w:t xml:space="preserve">9 in accordance with </w:t>
      </w:r>
      <w:r w:rsidR="00EF0298" w:rsidRPr="009E7178">
        <w:t>Articles </w:t>
      </w:r>
      <w:r w:rsidRPr="009E7178">
        <w:t>10 to 16</w:t>
      </w:r>
      <w:r w:rsidR="0015685A" w:rsidRPr="009E7178">
        <w:t xml:space="preserve"> of the Taxonomy Regulation</w:t>
      </w:r>
      <w:r w:rsidR="005C0A83" w:rsidRPr="009E7178">
        <w:t>;</w:t>
      </w:r>
    </w:p>
    <w:p w14:paraId="310D12B3" w14:textId="335C2A82" w:rsidR="005C0A83" w:rsidRPr="009E7178" w:rsidRDefault="00FB2DE4" w:rsidP="00A93E1B">
      <w:pPr>
        <w:pStyle w:val="Listlevel3"/>
      </w:pPr>
      <w:r w:rsidRPr="009E7178">
        <w:t xml:space="preserve">does not significantly harm any of the environmental objectives set out in </w:t>
      </w:r>
      <w:r w:rsidR="005C6A7C" w:rsidRPr="009E7178">
        <w:t>Article </w:t>
      </w:r>
      <w:r w:rsidRPr="009E7178">
        <w:t xml:space="preserve">9 in accordance with </w:t>
      </w:r>
      <w:r w:rsidR="005C6A7C" w:rsidRPr="009E7178">
        <w:t>Article </w:t>
      </w:r>
      <w:r w:rsidRPr="009E7178">
        <w:t>17</w:t>
      </w:r>
      <w:r w:rsidR="0015685A" w:rsidRPr="009E7178">
        <w:t xml:space="preserve"> of </w:t>
      </w:r>
      <w:r w:rsidR="001B021C" w:rsidRPr="009E7178">
        <w:t>the Taxonomy Regulation</w:t>
      </w:r>
      <w:r w:rsidR="005C0A83" w:rsidRPr="009E7178">
        <w:t>;</w:t>
      </w:r>
    </w:p>
    <w:p w14:paraId="5A4DC32A" w14:textId="71D79963" w:rsidR="0015685A" w:rsidRPr="009E7178" w:rsidRDefault="00FB2DE4" w:rsidP="00A93E1B">
      <w:pPr>
        <w:pStyle w:val="Listlevel3"/>
      </w:pPr>
      <w:r w:rsidRPr="009E7178">
        <w:t xml:space="preserve">is carried out in compliance with the minimum safeguards laid down in </w:t>
      </w:r>
      <w:r w:rsidR="005C6A7C" w:rsidRPr="009E7178">
        <w:t>Article </w:t>
      </w:r>
      <w:r w:rsidRPr="009E7178">
        <w:t>18</w:t>
      </w:r>
      <w:r w:rsidR="0015685A" w:rsidRPr="009E7178">
        <w:t xml:space="preserve"> of </w:t>
      </w:r>
      <w:r w:rsidR="001B021C" w:rsidRPr="009E7178">
        <w:t>the Taxonomy Regulation</w:t>
      </w:r>
      <w:r w:rsidRPr="009E7178">
        <w:t>; and</w:t>
      </w:r>
    </w:p>
    <w:p w14:paraId="0599600E" w14:textId="6CD8E2F7" w:rsidR="005C0A83" w:rsidRPr="009E7178" w:rsidRDefault="00FB2DE4" w:rsidP="00F152B7">
      <w:pPr>
        <w:pStyle w:val="Listlevel3"/>
      </w:pPr>
      <w:r w:rsidRPr="009E7178">
        <w:lastRenderedPageBreak/>
        <w:t>complies with technical screening criteria that have been established by the</w:t>
      </w:r>
      <w:r w:rsidR="001B021C" w:rsidRPr="009E7178">
        <w:t xml:space="preserve"> European </w:t>
      </w:r>
      <w:r w:rsidRPr="009E7178">
        <w:t xml:space="preserve">Commission in accordance with </w:t>
      </w:r>
      <w:r w:rsidR="005C6A7C" w:rsidRPr="009E7178">
        <w:t>Article</w:t>
      </w:r>
      <w:r w:rsidR="00605D0D" w:rsidRPr="009E7178">
        <w:rPr>
          <w:lang w:val="ru-RU"/>
        </w:rPr>
        <w:t> </w:t>
      </w:r>
      <w:r w:rsidRPr="009E7178">
        <w:t>10(3), 11(3), 12(2), 13(2), 14(2) or 15(2)</w:t>
      </w:r>
      <w:r w:rsidR="0015685A" w:rsidRPr="009E7178">
        <w:t xml:space="preserve"> of </w:t>
      </w:r>
      <w:r w:rsidR="001B021C" w:rsidRPr="009E7178">
        <w:t>the Taxonomy Regulation</w:t>
      </w:r>
      <w:r w:rsidRPr="009E7178">
        <w:t>.</w:t>
      </w:r>
    </w:p>
    <w:p w14:paraId="6EB78B0C" w14:textId="57BEBEE2" w:rsidR="00AF757A" w:rsidRPr="009E7178" w:rsidRDefault="00AF757A" w:rsidP="006940EA">
      <w:pPr>
        <w:pStyle w:val="Heading1"/>
        <w:numPr>
          <w:ilvl w:val="0"/>
          <w:numId w:val="4"/>
        </w:numPr>
        <w:contextualSpacing w:val="0"/>
        <w:rPr>
          <w:b w:val="0"/>
        </w:rPr>
      </w:pPr>
      <w:bookmarkStart w:id="25" w:name="_Toc137207288"/>
      <w:r w:rsidRPr="009E7178">
        <w:t>Distributing financial instruments manufactured by non-MiFID</w:t>
      </w:r>
      <w:r w:rsidR="008B1A1E" w:rsidRPr="009E7178">
        <w:t> II</w:t>
      </w:r>
      <w:r w:rsidRPr="009E7178">
        <w:t xml:space="preserve"> firms</w:t>
      </w:r>
      <w:bookmarkEnd w:id="25"/>
      <w:r w:rsidRPr="009E7178">
        <w:t xml:space="preserve"> </w:t>
      </w:r>
    </w:p>
    <w:p w14:paraId="5DE8C2EC" w14:textId="77777777" w:rsidR="005C0A83" w:rsidRPr="009E7178" w:rsidRDefault="00AF757A" w:rsidP="006940EA">
      <w:pPr>
        <w:pStyle w:val="Listlevel2"/>
      </w:pPr>
      <w:r w:rsidRPr="009E7178">
        <w:t>The Company must take all reasonable steps to comply with the present Policy when distributing financial instruments manufactured by any firm to which MiFID II manufacturer product governance requirements do not apply</w:t>
      </w:r>
      <w:r w:rsidR="005C0A83" w:rsidRPr="009E7178">
        <w:t>.</w:t>
      </w:r>
    </w:p>
    <w:p w14:paraId="42B1713C" w14:textId="1A1CEB83" w:rsidR="00AF757A" w:rsidRPr="009E7178" w:rsidRDefault="00AF757A" w:rsidP="006940EA">
      <w:pPr>
        <w:pStyle w:val="Listlevel2"/>
      </w:pPr>
      <w:bookmarkStart w:id="26" w:name="_Ref114669799"/>
      <w:r w:rsidRPr="009E7178">
        <w:t xml:space="preserve">As part of this, the Company must put in place effective arrangements to ensure that it obtains sufficient, adequate and reliable information from the </w:t>
      </w:r>
      <w:r w:rsidR="007E2942" w:rsidRPr="009E7178">
        <w:t>Manufacturer</w:t>
      </w:r>
      <w:r w:rsidRPr="009E7178">
        <w:t xml:space="preserve"> about the financial instruments to ensure that they will be distributed in accordance with the characteristics, objectives</w:t>
      </w:r>
      <w:r w:rsidR="00605D0D" w:rsidRPr="009E7178">
        <w:t xml:space="preserve">, </w:t>
      </w:r>
      <w:r w:rsidRPr="009E7178">
        <w:t>needs</w:t>
      </w:r>
      <w:r w:rsidR="002422C1" w:rsidRPr="009E7178">
        <w:t xml:space="preserve">, </w:t>
      </w:r>
      <w:r w:rsidRPr="009E7178">
        <w:t>the identified target market</w:t>
      </w:r>
      <w:r w:rsidR="002422C1" w:rsidRPr="009E7178">
        <w:t>, and sustainability preferences</w:t>
      </w:r>
      <w:r w:rsidRPr="009E7178">
        <w:t xml:space="preserve">. </w:t>
      </w:r>
      <w:r w:rsidR="00DF4823" w:rsidRPr="009E7178">
        <w:t xml:space="preserve">The </w:t>
      </w:r>
      <w:r w:rsidRPr="009E7178">
        <w:t xml:space="preserve">Company should determine the target market as well as the distribution strategy also when they are not defined by the </w:t>
      </w:r>
      <w:r w:rsidR="007E2942" w:rsidRPr="009E7178">
        <w:t>Manufacturer</w:t>
      </w:r>
      <w:r w:rsidRPr="009E7178">
        <w:t>.</w:t>
      </w:r>
      <w:bookmarkEnd w:id="26"/>
    </w:p>
    <w:p w14:paraId="2C51E3F7" w14:textId="717D4366" w:rsidR="00AF757A" w:rsidRPr="009E7178" w:rsidRDefault="00AF757A" w:rsidP="006940EA">
      <w:pPr>
        <w:pStyle w:val="a0"/>
      </w:pPr>
      <w:r w:rsidRPr="009E7178">
        <w:t xml:space="preserve">If </w:t>
      </w:r>
      <w:r w:rsidR="00885A06" w:rsidRPr="009E7178">
        <w:t>the</w:t>
      </w:r>
      <w:r w:rsidRPr="009E7178">
        <w:t xml:space="preserve"> </w:t>
      </w:r>
      <w:r w:rsidR="007E2942" w:rsidRPr="009E7178">
        <w:t>Manufacturer</w:t>
      </w:r>
      <w:r w:rsidRPr="009E7178">
        <w:t>, a trading venue or other intermediary on a regulated financial market provided all material information about the financial instrument, then the Company draws from this information verbatim.</w:t>
      </w:r>
    </w:p>
    <w:p w14:paraId="61DCA7DA" w14:textId="496889D0" w:rsidR="005C0A83" w:rsidRPr="009E7178" w:rsidRDefault="00AF757A" w:rsidP="006940EA">
      <w:pPr>
        <w:pStyle w:val="a0"/>
      </w:pPr>
      <w:r w:rsidRPr="009E7178">
        <w:t xml:space="preserve">If </w:t>
      </w:r>
      <w:r w:rsidR="00885A06" w:rsidRPr="009E7178">
        <w:t>the</w:t>
      </w:r>
      <w:r w:rsidRPr="009E7178">
        <w:t xml:space="preserve"> </w:t>
      </w:r>
      <w:r w:rsidR="007E2942" w:rsidRPr="009E7178">
        <w:t>Manufacturer</w:t>
      </w:r>
      <w:r w:rsidRPr="009E7178">
        <w:t xml:space="preserve"> </w:t>
      </w:r>
      <w:r w:rsidRPr="009E7178">
        <w:rPr>
          <w:i/>
        </w:rPr>
        <w:t>provides</w:t>
      </w:r>
      <w:r w:rsidRPr="009E7178">
        <w:t xml:space="preserve"> information of a target market of the instrument in accordance with categories of clients set out by the MiFID II, then the Company </w:t>
      </w:r>
      <w:r w:rsidRPr="009E7178">
        <w:rPr>
          <w:i/>
        </w:rPr>
        <w:t>mirrors such target market</w:t>
      </w:r>
      <w:r w:rsidR="00136101" w:rsidRPr="009E7178">
        <w:t>, taking also into consideration the existing information on their clients and prospective clients to identify its own target market.</w:t>
      </w:r>
      <w:r w:rsidR="00D21491" w:rsidRPr="009E7178">
        <w:t xml:space="preserve"> Where the </w:t>
      </w:r>
      <w:r w:rsidR="00136101" w:rsidRPr="009E7178">
        <w:t xml:space="preserve">target market assessment by the </w:t>
      </w:r>
      <w:r w:rsidR="007E2942" w:rsidRPr="009E7178">
        <w:t>Manufacturer</w:t>
      </w:r>
      <w:r w:rsidR="00136101" w:rsidRPr="009E7178">
        <w:t xml:space="preserve"> is generic </w:t>
      </w:r>
      <w:r w:rsidR="00F113F2" w:rsidRPr="009E7178">
        <w:t xml:space="preserve">and </w:t>
      </w:r>
      <w:r w:rsidR="002364AB" w:rsidRPr="009E7178">
        <w:rPr>
          <w:iCs/>
        </w:rPr>
        <w:t xml:space="preserve">superficial </w:t>
      </w:r>
      <w:r w:rsidR="00136101" w:rsidRPr="009E7178">
        <w:t>the Company should perform its own thorough assessment of the target market taking into consideration client</w:t>
      </w:r>
      <w:r w:rsidR="00F113F2" w:rsidRPr="009E7178">
        <w:t>’</w:t>
      </w:r>
      <w:r w:rsidR="00136101" w:rsidRPr="009E7178">
        <w:t xml:space="preserve">s </w:t>
      </w:r>
      <w:r w:rsidR="00F113F2" w:rsidRPr="009E7178">
        <w:t>characteristics, objectives, needs, and sustainability preferences</w:t>
      </w:r>
      <w:r w:rsidR="00F113F2" w:rsidRPr="009E7178">
        <w:rPr>
          <w:b/>
        </w:rPr>
        <w:t xml:space="preserve"> </w:t>
      </w:r>
      <w:r w:rsidR="00136101" w:rsidRPr="009E7178">
        <w:t xml:space="preserve">and the factors explained below. The Company may even choose a narrower target market, compared to the one identified by the </w:t>
      </w:r>
      <w:r w:rsidR="00F113F2" w:rsidRPr="009E7178">
        <w:t>Manufacturer</w:t>
      </w:r>
      <w:r w:rsidR="005C0A83" w:rsidRPr="009E7178">
        <w:t>.</w:t>
      </w:r>
    </w:p>
    <w:p w14:paraId="7C10AED6" w14:textId="50D4E0FB" w:rsidR="00AF757A" w:rsidRPr="009E7178" w:rsidRDefault="00AF757A" w:rsidP="006940EA">
      <w:pPr>
        <w:pStyle w:val="a0"/>
      </w:pPr>
      <w:r w:rsidRPr="009E7178">
        <w:t xml:space="preserve">If </w:t>
      </w:r>
      <w:r w:rsidR="00885A06" w:rsidRPr="009E7178">
        <w:t>the</w:t>
      </w:r>
      <w:r w:rsidRPr="009E7178">
        <w:t xml:space="preserve"> </w:t>
      </w:r>
      <w:r w:rsidR="007E2942" w:rsidRPr="009E7178">
        <w:t>Manufacturer</w:t>
      </w:r>
      <w:r w:rsidRPr="009E7178">
        <w:t xml:space="preserve"> does </w:t>
      </w:r>
      <w:r w:rsidRPr="009E7178">
        <w:rPr>
          <w:i/>
        </w:rPr>
        <w:t>not provide</w:t>
      </w:r>
      <w:r w:rsidRPr="009E7178">
        <w:t xml:space="preserve"> information of a target market of the instrument in accordance with categories of clients set out by the </w:t>
      </w:r>
      <w:r w:rsidR="00136101" w:rsidRPr="009E7178">
        <w:t>MiFID II,</w:t>
      </w:r>
      <w:r w:rsidRPr="009E7178">
        <w:t xml:space="preserve"> then the Company follows indicators of complexity, risk-reward profile, liquidity, innovation, market and information availability, </w:t>
      </w:r>
      <w:r w:rsidR="00A47DD9" w:rsidRPr="009E7178">
        <w:t xml:space="preserve">conflicts of interest, </w:t>
      </w:r>
      <w:r w:rsidRPr="009E7178">
        <w:t xml:space="preserve">and other relevant features of financial instruments as provided by </w:t>
      </w:r>
      <w:r w:rsidR="007E2942" w:rsidRPr="009E7178">
        <w:t>Manufacturer</w:t>
      </w:r>
      <w:r w:rsidRPr="009E7178">
        <w:t>s of these financial instruments.</w:t>
      </w:r>
    </w:p>
    <w:p w14:paraId="2CADCF48" w14:textId="639EE3D5" w:rsidR="00FD73AF" w:rsidRPr="009E7178" w:rsidRDefault="00CA04EB" w:rsidP="006940EA">
      <w:pPr>
        <w:pStyle w:val="a0"/>
      </w:pPr>
      <w:r w:rsidRPr="009E7178">
        <w:t>Where</w:t>
      </w:r>
      <w:r w:rsidR="00FD73AF" w:rsidRPr="009E7178">
        <w:t xml:space="preserve"> a client has </w:t>
      </w:r>
      <w:r w:rsidR="009374BA" w:rsidRPr="009E7178">
        <w:t>sustainability preferences</w:t>
      </w:r>
      <w:r w:rsidR="00136101" w:rsidRPr="009E7178">
        <w:t>,</w:t>
      </w:r>
      <w:r w:rsidR="0090709B" w:rsidRPr="009E7178">
        <w:t xml:space="preserve"> then </w:t>
      </w:r>
      <w:r w:rsidR="004C089B" w:rsidRPr="009E7178">
        <w:t xml:space="preserve">a </w:t>
      </w:r>
      <w:r w:rsidR="0090709B" w:rsidRPr="009E7178">
        <w:t>target market of a financial instrument is adjusted in accordance with</w:t>
      </w:r>
      <w:r w:rsidR="00FD73AF" w:rsidRPr="009E7178">
        <w:t xml:space="preserve"> </w:t>
      </w:r>
      <w:r w:rsidR="00745950" w:rsidRPr="009E7178">
        <w:t>Sections</w:t>
      </w:r>
      <w:r w:rsidR="00656DCD" w:rsidRPr="009E7178">
        <w:t xml:space="preserve"> </w:t>
      </w:r>
      <w:r w:rsidR="00656DCD" w:rsidRPr="009E7178">
        <w:fldChar w:fldCharType="begin"/>
      </w:r>
      <w:r w:rsidR="00656DCD" w:rsidRPr="009E7178">
        <w:instrText xml:space="preserve"> REF _Ref130825813 \r \h </w:instrText>
      </w:r>
      <w:r w:rsidR="009E7178">
        <w:instrText xml:space="preserve"> \* MERGEFORMAT </w:instrText>
      </w:r>
      <w:r w:rsidR="00656DCD" w:rsidRPr="009E7178">
        <w:fldChar w:fldCharType="separate"/>
      </w:r>
      <w:r w:rsidR="000E7C0F">
        <w:t>5.2</w:t>
      </w:r>
      <w:r w:rsidR="00656DCD" w:rsidRPr="009E7178">
        <w:fldChar w:fldCharType="end"/>
      </w:r>
      <w:r w:rsidR="00656DCD" w:rsidRPr="009E7178">
        <w:t>–</w:t>
      </w:r>
      <w:r w:rsidR="00DE0601" w:rsidRPr="009E7178">
        <w:fldChar w:fldCharType="begin"/>
      </w:r>
      <w:r w:rsidR="00DE0601" w:rsidRPr="009E7178">
        <w:instrText xml:space="preserve"> REF _Ref130824512 \r \h </w:instrText>
      </w:r>
      <w:r w:rsidR="009E7178">
        <w:instrText xml:space="preserve"> \* MERGEFORMAT </w:instrText>
      </w:r>
      <w:r w:rsidR="00DE0601" w:rsidRPr="009E7178">
        <w:fldChar w:fldCharType="separate"/>
      </w:r>
      <w:r w:rsidR="000E7C0F">
        <w:t>5.8</w:t>
      </w:r>
      <w:r w:rsidR="00DE0601" w:rsidRPr="009E7178">
        <w:fldChar w:fldCharType="end"/>
      </w:r>
      <w:r w:rsidR="00FD73AF" w:rsidRPr="009E7178">
        <w:t>.</w:t>
      </w:r>
    </w:p>
    <w:p w14:paraId="600B5D32" w14:textId="09B87757" w:rsidR="00785A85" w:rsidRPr="009E7178" w:rsidRDefault="00F019FE" w:rsidP="00785A85">
      <w:pPr>
        <w:pStyle w:val="Listlevel2"/>
      </w:pPr>
      <w:r w:rsidRPr="009E7178">
        <w:t>In summary, pr</w:t>
      </w:r>
      <w:r w:rsidR="00785A85" w:rsidRPr="009E7178">
        <w:t xml:space="preserve">ocedure of </w:t>
      </w:r>
      <w:r w:rsidR="00337DBE" w:rsidRPr="009E7178">
        <w:t>fulfilment</w:t>
      </w:r>
      <w:r w:rsidR="00785A85" w:rsidRPr="009E7178">
        <w:t xml:space="preserve"> of client</w:t>
      </w:r>
      <w:r w:rsidR="00D41853" w:rsidRPr="009E7178">
        <w:t>’</w:t>
      </w:r>
      <w:r w:rsidR="00785A85" w:rsidRPr="009E7178">
        <w:t xml:space="preserve">s preferences </w:t>
      </w:r>
      <w:r w:rsidRPr="009E7178">
        <w:t>consists of the following stages</w:t>
      </w:r>
      <w:r w:rsidR="00785A85" w:rsidRPr="009E7178">
        <w:t>:</w:t>
      </w:r>
    </w:p>
    <w:p w14:paraId="7A129A2F" w14:textId="07F888B9" w:rsidR="005775DF" w:rsidRPr="009E7178" w:rsidRDefault="005775DF" w:rsidP="006940EA">
      <w:pPr>
        <w:pStyle w:val="Listlevel3"/>
      </w:pPr>
      <w:r w:rsidRPr="009E7178">
        <w:t>the Company explain</w:t>
      </w:r>
      <w:r w:rsidR="00D41853" w:rsidRPr="009E7178">
        <w:t>s</w:t>
      </w:r>
      <w:r w:rsidRPr="009E7178">
        <w:t xml:space="preserve"> to the client what it means by referring to sustainable investments. The Company will also proceed with evaluating the </w:t>
      </w:r>
      <w:r w:rsidR="002E7F59" w:rsidRPr="009E7178">
        <w:t>client’s</w:t>
      </w:r>
      <w:r w:rsidRPr="009E7178">
        <w:t xml:space="preserve"> investment objectives including sustainability preferences.</w:t>
      </w:r>
    </w:p>
    <w:p w14:paraId="3EDCFFB7" w14:textId="513EB2D9" w:rsidR="005775DF" w:rsidRPr="009E7178" w:rsidRDefault="005775DF" w:rsidP="006940EA">
      <w:pPr>
        <w:pStyle w:val="Listlevel3"/>
      </w:pPr>
      <w:r w:rsidRPr="009E7178">
        <w:t>The Company ensure</w:t>
      </w:r>
      <w:r w:rsidR="00D41853" w:rsidRPr="009E7178">
        <w:t>s</w:t>
      </w:r>
      <w:r w:rsidRPr="009E7178">
        <w:t xml:space="preserve"> that the products distributed to the clients are compatible with </w:t>
      </w:r>
      <w:r w:rsidR="00D41853" w:rsidRPr="009E7178">
        <w:t xml:space="preserve">his </w:t>
      </w:r>
      <w:r w:rsidRPr="009E7178">
        <w:t xml:space="preserve">sustainability </w:t>
      </w:r>
      <w:r w:rsidR="0047474D" w:rsidRPr="009E7178">
        <w:t>preferences</w:t>
      </w:r>
      <w:r w:rsidRPr="009E7178">
        <w:t>.</w:t>
      </w:r>
    </w:p>
    <w:p w14:paraId="15C53994" w14:textId="7E9F0465" w:rsidR="005C0A83" w:rsidRPr="009E7178" w:rsidRDefault="0036140D" w:rsidP="006940EA">
      <w:pPr>
        <w:pStyle w:val="Listlevel3"/>
      </w:pPr>
      <w:r w:rsidRPr="009E7178">
        <w:t xml:space="preserve">When the Company identifies investment products with </w:t>
      </w:r>
      <w:r w:rsidR="0047474D" w:rsidRPr="009E7178">
        <w:t xml:space="preserve">sustainable </w:t>
      </w:r>
      <w:r w:rsidRPr="009E7178">
        <w:t>characteristics, the Company specif</w:t>
      </w:r>
      <w:r w:rsidR="00D41853" w:rsidRPr="009E7178">
        <w:t>ies</w:t>
      </w:r>
      <w:r w:rsidRPr="009E7178">
        <w:t xml:space="preserve"> to which group of clients with sustainability </w:t>
      </w:r>
      <w:r w:rsidR="0047474D" w:rsidRPr="009E7178">
        <w:t>preferences</w:t>
      </w:r>
      <w:r w:rsidRPr="009E7178">
        <w:t>, the financial instrument should be distributed</w:t>
      </w:r>
      <w:r w:rsidR="00A656C0" w:rsidRPr="009E7178">
        <w:t xml:space="preserve"> and how. </w:t>
      </w:r>
      <w:r w:rsidR="00D41853" w:rsidRPr="009E7178">
        <w:t xml:space="preserve">In other words, </w:t>
      </w:r>
      <w:r w:rsidR="00A656C0" w:rsidRPr="009E7178">
        <w:t xml:space="preserve">it should be specified which products may be distributed on an execution only basis and without marketing (as such the client may have limited information and make its own investment decisions) and which </w:t>
      </w:r>
      <w:r w:rsidR="00A656C0" w:rsidRPr="009E7178">
        <w:lastRenderedPageBreak/>
        <w:t xml:space="preserve">products </w:t>
      </w:r>
      <w:r w:rsidR="00D4200D" w:rsidRPr="009E7178">
        <w:t>are suitable to be included as part of the provision of Portfolio Management (where such a service is offered to the client)</w:t>
      </w:r>
      <w:r w:rsidR="005C0A83" w:rsidRPr="009E7178">
        <w:t>.</w:t>
      </w:r>
    </w:p>
    <w:p w14:paraId="2BB3E27D" w14:textId="6C75B5A1" w:rsidR="00170DCF" w:rsidRPr="009E7178" w:rsidRDefault="00A656C0" w:rsidP="006940EA">
      <w:pPr>
        <w:pStyle w:val="Listlevel3"/>
      </w:pPr>
      <w:r w:rsidRPr="009E7178">
        <w:t>The Company should identify client</w:t>
      </w:r>
      <w:r w:rsidR="009A1F15" w:rsidRPr="009E7178">
        <w:t>’</w:t>
      </w:r>
      <w:r w:rsidRPr="009E7178">
        <w:t xml:space="preserve">s needs and assess whether the products with </w:t>
      </w:r>
      <w:r w:rsidR="00257FFB" w:rsidRPr="009E7178">
        <w:t xml:space="preserve">fitting </w:t>
      </w:r>
      <w:r w:rsidR="0047474D" w:rsidRPr="009E7178">
        <w:t>sustainable</w:t>
      </w:r>
      <w:r w:rsidR="0047474D" w:rsidRPr="009E7178">
        <w:rPr>
          <w:bCs w:val="0"/>
          <w:snapToGrid w:val="0"/>
        </w:rPr>
        <w:t xml:space="preserve"> </w:t>
      </w:r>
      <w:r w:rsidRPr="009E7178">
        <w:rPr>
          <w:bCs w:val="0"/>
          <w:snapToGrid w:val="0"/>
        </w:rPr>
        <w:t xml:space="preserve">characteristics </w:t>
      </w:r>
      <w:r w:rsidR="009A1F15" w:rsidRPr="009E7178">
        <w:rPr>
          <w:bCs w:val="0"/>
          <w:snapToGrid w:val="0"/>
        </w:rPr>
        <w:t xml:space="preserve">are suitable </w:t>
      </w:r>
      <w:r w:rsidR="007E2D21" w:rsidRPr="009E7178">
        <w:rPr>
          <w:bCs w:val="0"/>
          <w:snapToGrid w:val="0"/>
        </w:rPr>
        <w:t>for the client</w:t>
      </w:r>
      <w:r w:rsidR="009A1F15" w:rsidRPr="009E7178">
        <w:rPr>
          <w:bCs w:val="0"/>
          <w:snapToGrid w:val="0"/>
        </w:rPr>
        <w:t xml:space="preserve"> for reasons</w:t>
      </w:r>
      <w:r w:rsidR="00372AE7" w:rsidRPr="009E7178">
        <w:rPr>
          <w:bCs w:val="0"/>
          <w:snapToGrid w:val="0"/>
        </w:rPr>
        <w:t xml:space="preserve"> beyond ESG</w:t>
      </w:r>
      <w:r w:rsidR="007E2D21" w:rsidRPr="009E7178">
        <w:rPr>
          <w:bCs w:val="0"/>
          <w:snapToGrid w:val="0"/>
        </w:rPr>
        <w:t xml:space="preserve">. </w:t>
      </w:r>
      <w:r w:rsidRPr="009E7178">
        <w:rPr>
          <w:bCs w:val="0"/>
          <w:snapToGrid w:val="0"/>
        </w:rPr>
        <w:t xml:space="preserve">This </w:t>
      </w:r>
      <w:r w:rsidR="00170DCF" w:rsidRPr="009E7178">
        <w:rPr>
          <w:bCs w:val="0"/>
          <w:snapToGrid w:val="0"/>
        </w:rPr>
        <w:t xml:space="preserve">might </w:t>
      </w:r>
      <w:r w:rsidR="00170DCF" w:rsidRPr="009E7178">
        <w:t xml:space="preserve">make the financial instrument </w:t>
      </w:r>
      <w:r w:rsidRPr="009E7178">
        <w:t xml:space="preserve">incompatible with </w:t>
      </w:r>
      <w:r w:rsidR="00170DCF" w:rsidRPr="009E7178">
        <w:t>client’s</w:t>
      </w:r>
      <w:r w:rsidR="00170DCF" w:rsidRPr="009E7178" w:rsidDel="00372AE7">
        <w:t xml:space="preserve"> </w:t>
      </w:r>
      <w:r w:rsidR="00655DC1" w:rsidRPr="009E7178">
        <w:t>characteristics</w:t>
      </w:r>
      <w:r w:rsidR="00170DCF" w:rsidRPr="009E7178">
        <w:rPr>
          <w:bCs w:val="0"/>
          <w:snapToGrid w:val="0"/>
        </w:rPr>
        <w:t xml:space="preserve"> as a result</w:t>
      </w:r>
      <w:r w:rsidR="00170DCF" w:rsidRPr="009E7178">
        <w:t>.</w:t>
      </w:r>
    </w:p>
    <w:p w14:paraId="3DDB1ABE" w14:textId="61973D31" w:rsidR="00A656C0" w:rsidRPr="009E7178" w:rsidRDefault="00170DCF" w:rsidP="00170DCF">
      <w:pPr>
        <w:pStyle w:val="Listlevel3"/>
        <w:numPr>
          <w:ilvl w:val="0"/>
          <w:numId w:val="0"/>
        </w:numPr>
        <w:ind w:left="1134"/>
      </w:pPr>
      <w:r w:rsidRPr="009E7178">
        <w:t xml:space="preserve">For </w:t>
      </w:r>
      <w:r w:rsidR="00A656C0" w:rsidRPr="009E7178">
        <w:t xml:space="preserve">example, if the product that </w:t>
      </w:r>
      <w:r w:rsidR="00AA3120" w:rsidRPr="009E7178">
        <w:t xml:space="preserve">suits </w:t>
      </w:r>
      <w:r w:rsidR="00A656C0" w:rsidRPr="009E7178">
        <w:t>sustainability factors</w:t>
      </w:r>
      <w:r w:rsidR="00CF6365" w:rsidRPr="009E7178">
        <w:t xml:space="preserve"> (defined in Section </w:t>
      </w:r>
      <w:r w:rsidR="00CF6365" w:rsidRPr="009E7178">
        <w:fldChar w:fldCharType="begin"/>
      </w:r>
      <w:r w:rsidR="00CF6365" w:rsidRPr="009E7178">
        <w:instrText xml:space="preserve"> REF _Ref130824800 \r \h </w:instrText>
      </w:r>
      <w:r w:rsidR="009E7178">
        <w:instrText xml:space="preserve"> \* MERGEFORMAT </w:instrText>
      </w:r>
      <w:r w:rsidR="00CF6365" w:rsidRPr="009E7178">
        <w:fldChar w:fldCharType="separate"/>
      </w:r>
      <w:r w:rsidR="000E7C0F">
        <w:t>1.1</w:t>
      </w:r>
      <w:r w:rsidR="00CF6365" w:rsidRPr="009E7178">
        <w:fldChar w:fldCharType="end"/>
      </w:r>
      <w:r w:rsidR="00CF6365" w:rsidRPr="009E7178">
        <w:t>)</w:t>
      </w:r>
      <w:r w:rsidR="00A656C0" w:rsidRPr="009E7178">
        <w:t xml:space="preserve"> concerns a risky product intended for clients with a long-term investment horizon and willing and able to lose their investment amount</w:t>
      </w:r>
      <w:r w:rsidR="00AA3120" w:rsidRPr="009E7178">
        <w:t xml:space="preserve">, </w:t>
      </w:r>
      <w:r w:rsidR="00A656C0" w:rsidRPr="009E7178">
        <w:t xml:space="preserve">in which case the product would not be compatible with </w:t>
      </w:r>
      <w:r w:rsidR="00AA3120" w:rsidRPr="009E7178">
        <w:t xml:space="preserve">a </w:t>
      </w:r>
      <w:r w:rsidR="00A656C0" w:rsidRPr="009E7178">
        <w:t xml:space="preserve">client </w:t>
      </w:r>
      <w:r w:rsidR="00AA3120" w:rsidRPr="009E7178">
        <w:t xml:space="preserve">with </w:t>
      </w:r>
      <w:r w:rsidR="00257FFB" w:rsidRPr="009E7178">
        <w:t xml:space="preserve">same </w:t>
      </w:r>
      <w:r w:rsidR="00F10F56" w:rsidRPr="009E7178">
        <w:t>sustainability</w:t>
      </w:r>
      <w:r w:rsidR="00257FFB" w:rsidRPr="009E7178">
        <w:t xml:space="preserve"> preferences but </w:t>
      </w:r>
      <w:r w:rsidR="00A656C0" w:rsidRPr="009E7178">
        <w:t>low risk tolerance.</w:t>
      </w:r>
    </w:p>
    <w:p w14:paraId="1A378A2A" w14:textId="10BE5FAD" w:rsidR="002D7F86" w:rsidRPr="009E7178" w:rsidRDefault="002D7F86" w:rsidP="006940EA">
      <w:pPr>
        <w:pStyle w:val="Listlevel3"/>
      </w:pPr>
      <w:r w:rsidRPr="009E7178">
        <w:t xml:space="preserve">Where </w:t>
      </w:r>
      <w:r w:rsidR="007C58CE" w:rsidRPr="009E7178">
        <w:t>the Company</w:t>
      </w:r>
      <w:r w:rsidRPr="009E7178">
        <w:t xml:space="preserve"> does not have access to financial instruments which are eligible for recommendation to the client because they do not meet sustainability preferences, the </w:t>
      </w:r>
      <w:r w:rsidR="007C58CE" w:rsidRPr="009E7178">
        <w:t xml:space="preserve">Company </w:t>
      </w:r>
      <w:r w:rsidRPr="009E7178">
        <w:t>explain</w:t>
      </w:r>
      <w:r w:rsidR="00E075B3" w:rsidRPr="009E7178">
        <w:t>s</w:t>
      </w:r>
      <w:r w:rsidRPr="009E7178">
        <w:t xml:space="preserve"> to the client why </w:t>
      </w:r>
      <w:r w:rsidR="007C58CE" w:rsidRPr="009E7178">
        <w:t xml:space="preserve">it </w:t>
      </w:r>
      <w:r w:rsidR="00337DBE" w:rsidRPr="009E7178">
        <w:t xml:space="preserve">deems </w:t>
      </w:r>
      <w:r w:rsidRPr="009E7178">
        <w:t xml:space="preserve">a financial instrument </w:t>
      </w:r>
      <w:r w:rsidR="007A5069" w:rsidRPr="009E7178">
        <w:t xml:space="preserve">is </w:t>
      </w:r>
      <w:r w:rsidR="00337DBE" w:rsidRPr="009E7178">
        <w:t xml:space="preserve">unsuitable for him </w:t>
      </w:r>
      <w:r w:rsidRPr="009E7178">
        <w:t xml:space="preserve">(for example through articulating which of the sustainability preferences are not met in the financial instrument which the </w:t>
      </w:r>
      <w:r w:rsidR="007C58CE" w:rsidRPr="009E7178">
        <w:t xml:space="preserve">Company </w:t>
      </w:r>
      <w:r w:rsidRPr="009E7178">
        <w:t>has access to</w:t>
      </w:r>
      <w:r w:rsidR="00337DBE" w:rsidRPr="009E7178">
        <w:t>)</w:t>
      </w:r>
      <w:r w:rsidRPr="009E7178">
        <w:t xml:space="preserve">. Before asking the client if he wants to adapt </w:t>
      </w:r>
      <w:r w:rsidR="0044304B" w:rsidRPr="009E7178">
        <w:t>his</w:t>
      </w:r>
      <w:r w:rsidRPr="009E7178">
        <w:t xml:space="preserve"> sustainability preferences, the </w:t>
      </w:r>
      <w:r w:rsidR="007C58CE" w:rsidRPr="009E7178">
        <w:t xml:space="preserve">Company </w:t>
      </w:r>
      <w:r w:rsidRPr="009E7178">
        <w:t xml:space="preserve">should inform the client that such a financial instrument may be available elsewhere (e.g. though a different investment firm). The </w:t>
      </w:r>
      <w:r w:rsidR="007C58CE" w:rsidRPr="009E7178">
        <w:t xml:space="preserve">Company </w:t>
      </w:r>
      <w:r w:rsidRPr="009E7178">
        <w:t xml:space="preserve">should inform the client of </w:t>
      </w:r>
      <w:r w:rsidR="004834EC" w:rsidRPr="009E7178">
        <w:t>third-party sources to</w:t>
      </w:r>
      <w:r w:rsidRPr="009E7178">
        <w:t xml:space="preserve"> compare the sustainability </w:t>
      </w:r>
      <w:r w:rsidR="004834EC" w:rsidRPr="009E7178">
        <w:rPr>
          <w:bCs w:val="0"/>
        </w:rPr>
        <w:t>factors</w:t>
      </w:r>
      <w:r w:rsidR="004834EC" w:rsidRPr="009E7178" w:rsidDel="004834EC">
        <w:t xml:space="preserve"> </w:t>
      </w:r>
      <w:r w:rsidRPr="009E7178">
        <w:t xml:space="preserve">of different financial instruments. The </w:t>
      </w:r>
      <w:r w:rsidR="007C58CE" w:rsidRPr="009E7178">
        <w:t xml:space="preserve">Company </w:t>
      </w:r>
      <w:r w:rsidRPr="009E7178">
        <w:t xml:space="preserve">may then ask the client if he wants to adapt </w:t>
      </w:r>
      <w:r w:rsidR="0044304B" w:rsidRPr="009E7178">
        <w:t>his</w:t>
      </w:r>
      <w:r w:rsidRPr="009E7178">
        <w:t xml:space="preserve"> sustainability preferences or whether the client wants to find alternative investment solutions</w:t>
      </w:r>
      <w:r w:rsidR="006940EA" w:rsidRPr="009E7178">
        <w:t>.</w:t>
      </w:r>
    </w:p>
    <w:p w14:paraId="442878F9" w14:textId="7C5477D8" w:rsidR="002364AB" w:rsidRPr="009E7178" w:rsidRDefault="00D4200D" w:rsidP="006940EA">
      <w:pPr>
        <w:pStyle w:val="a0"/>
      </w:pPr>
      <w:r w:rsidRPr="009E7178">
        <w:t>To ensure that financial instruments with sustainability factors remain easily available also for clients that do not have sustainability preferences, the Company does not identify groups of clients with whose needs, characteristics and objectives the financial instrument with sustainability factors is not compatible. The Company relies considers that there is no negative market for sustainable products</w:t>
      </w:r>
      <w:r w:rsidR="004834EC" w:rsidRPr="009E7178">
        <w:rPr>
          <w:rStyle w:val="FootnoteReference"/>
        </w:rPr>
        <w:footnoteReference w:id="15"/>
      </w:r>
      <w:r w:rsidR="002E7F59" w:rsidRPr="009E7178">
        <w:t>.</w:t>
      </w:r>
    </w:p>
    <w:p w14:paraId="31975649" w14:textId="02136057" w:rsidR="002E7F59" w:rsidRPr="009E7178" w:rsidRDefault="0036140D" w:rsidP="006940EA">
      <w:pPr>
        <w:pStyle w:val="a0"/>
      </w:pPr>
      <w:r w:rsidRPr="009E7178">
        <w:t>That means that sustainable products may be distributed to clients falling outside that “positive” sustainability-related target market, provided that they are compatible with the features of the other target markets categories</w:t>
      </w:r>
      <w:r w:rsidR="00881636" w:rsidRPr="009E7178">
        <w:t xml:space="preserve"> (Section </w:t>
      </w:r>
      <w:r w:rsidR="00881636" w:rsidRPr="009E7178">
        <w:fldChar w:fldCharType="begin"/>
      </w:r>
      <w:r w:rsidR="00881636" w:rsidRPr="009E7178">
        <w:instrText xml:space="preserve"> REF _Ref114670036 \r \h </w:instrText>
      </w:r>
      <w:r w:rsidR="009E7178">
        <w:instrText xml:space="preserve"> \* MERGEFORMAT </w:instrText>
      </w:r>
      <w:r w:rsidR="00881636" w:rsidRPr="009E7178">
        <w:fldChar w:fldCharType="separate"/>
      </w:r>
      <w:r w:rsidR="000E7C0F">
        <w:t>7.5</w:t>
      </w:r>
      <w:r w:rsidR="00881636" w:rsidRPr="009E7178">
        <w:fldChar w:fldCharType="end"/>
      </w:r>
      <w:r w:rsidR="00881636" w:rsidRPr="009E7178">
        <w:t>)</w:t>
      </w:r>
      <w:r w:rsidRPr="009E7178">
        <w:t xml:space="preserve">. Hence, for products which consider sustainability factors, the </w:t>
      </w:r>
      <w:r w:rsidR="00B372B7" w:rsidRPr="009E7178">
        <w:t xml:space="preserve">Company </w:t>
      </w:r>
      <w:r w:rsidRPr="009E7178">
        <w:t>should always perform a target market assessment with respect to the other five target market categories (client type, knowledge and experience, financial situation, risk tolerance and</w:t>
      </w:r>
      <w:r w:rsidR="00B372B7" w:rsidRPr="009E7178">
        <w:t xml:space="preserve"> client’s</w:t>
      </w:r>
      <w:r w:rsidRPr="009E7178">
        <w:t xml:space="preserve"> objectives and needs), but should not consider the sustainability-related objectives for these products.</w:t>
      </w:r>
    </w:p>
    <w:p w14:paraId="271038F6" w14:textId="078EA732" w:rsidR="00AF757A" w:rsidRPr="009E7178" w:rsidRDefault="00D613B4" w:rsidP="006940EA">
      <w:pPr>
        <w:pStyle w:val="Listlevel2"/>
      </w:pPr>
      <w:bookmarkStart w:id="27" w:name="_Ref114670481"/>
      <w:r w:rsidRPr="009E7178">
        <w:t>The Company aligns availability of a type of financial instrument (complex or non-complex) against the Manufacturers identification of the type of clients to whom the product is targeted (MiFID II client categorisation of “retail client”, “professional client” and/or “eligible counterparty”).</w:t>
      </w:r>
      <w:bookmarkEnd w:id="27"/>
    </w:p>
    <w:p w14:paraId="3465FA87" w14:textId="390C0FC4" w:rsidR="00AF757A" w:rsidRPr="009E7178" w:rsidRDefault="00AF757A" w:rsidP="006940EA">
      <w:pPr>
        <w:pStyle w:val="a0"/>
      </w:pPr>
      <w:r w:rsidRPr="009E7178">
        <w:t xml:space="preserve">Generally, </w:t>
      </w:r>
      <w:r w:rsidR="00707ACC" w:rsidRPr="009E7178">
        <w:t>complex,</w:t>
      </w:r>
      <w:r w:rsidR="004A2E58" w:rsidRPr="009E7178">
        <w:t xml:space="preserve"> and non-complex </w:t>
      </w:r>
      <w:r w:rsidRPr="009E7178">
        <w:t xml:space="preserve">types of instruments are available to professional clients and eligible counterparties, and only </w:t>
      </w:r>
      <w:r w:rsidR="004A2E58" w:rsidRPr="009E7178">
        <w:t>non-complex</w:t>
      </w:r>
      <w:r w:rsidRPr="009E7178">
        <w:t xml:space="preserve"> types of instruments are available to retail clients.</w:t>
      </w:r>
      <w:r w:rsidR="00033B50" w:rsidRPr="009E7178">
        <w:t xml:space="preserve"> Financial </w:t>
      </w:r>
      <w:r w:rsidR="00707ACC" w:rsidRPr="009E7178">
        <w:t>instruments</w:t>
      </w:r>
      <w:r w:rsidR="00033B50" w:rsidRPr="009E7178">
        <w:t xml:space="preserve"> are marked as complex or non-complex in </w:t>
      </w:r>
      <w:r w:rsidR="00DA1CF8" w:rsidRPr="009E7178">
        <w:t xml:space="preserve">Appendixes </w:t>
      </w:r>
      <w:r w:rsidR="00033B50" w:rsidRPr="009E7178">
        <w:t>to the Policy.</w:t>
      </w:r>
    </w:p>
    <w:p w14:paraId="4748D99F" w14:textId="388E5757" w:rsidR="00AF757A" w:rsidRPr="009E7178" w:rsidRDefault="00AF757A" w:rsidP="006940EA">
      <w:pPr>
        <w:pStyle w:val="a0"/>
      </w:pPr>
      <w:r w:rsidRPr="009E7178">
        <w:t xml:space="preserve">However, availability of financial instruments for a particular client may </w:t>
      </w:r>
      <w:r w:rsidR="001045CA" w:rsidRPr="009E7178">
        <w:t xml:space="preserve">also </w:t>
      </w:r>
      <w:r w:rsidRPr="009E7178">
        <w:t>be affected by:</w:t>
      </w:r>
    </w:p>
    <w:p w14:paraId="50D174AA" w14:textId="77777777" w:rsidR="00AF757A" w:rsidRPr="009E7178" w:rsidRDefault="00AF757A" w:rsidP="006940EA">
      <w:pPr>
        <w:pStyle w:val="ListParagraph"/>
      </w:pPr>
      <w:r w:rsidRPr="009E7178">
        <w:t>results of suitability or appropriateness tests of a client;</w:t>
      </w:r>
    </w:p>
    <w:p w14:paraId="0E7577AD" w14:textId="2806EEF1" w:rsidR="00AF757A" w:rsidRPr="009E7178" w:rsidRDefault="00730CD6" w:rsidP="006940EA">
      <w:pPr>
        <w:pStyle w:val="ListParagraph"/>
      </w:pPr>
      <w:r w:rsidRPr="009E7178">
        <w:t xml:space="preserve">risk-profile, </w:t>
      </w:r>
      <w:r w:rsidR="00AF757A" w:rsidRPr="009E7178">
        <w:t>investment strategy</w:t>
      </w:r>
      <w:r w:rsidRPr="009E7178">
        <w:t>, needs, characteristics</w:t>
      </w:r>
      <w:r w:rsidR="00492D09" w:rsidRPr="009E7178">
        <w:t xml:space="preserve">, </w:t>
      </w:r>
      <w:r w:rsidRPr="009E7178">
        <w:t>and objectives</w:t>
      </w:r>
      <w:r w:rsidR="00AF757A" w:rsidRPr="009E7178">
        <w:t xml:space="preserve"> of a client;</w:t>
      </w:r>
    </w:p>
    <w:p w14:paraId="6DABCF94" w14:textId="7C485219" w:rsidR="00524C3B" w:rsidRPr="009E7178" w:rsidRDefault="00524C3B" w:rsidP="006940EA">
      <w:pPr>
        <w:pStyle w:val="ListParagraph"/>
      </w:pPr>
      <w:r w:rsidRPr="009E7178">
        <w:lastRenderedPageBreak/>
        <w:t>currency, date of issue, duration, and other parameters of a financial instrument;</w:t>
      </w:r>
    </w:p>
    <w:p w14:paraId="4B7CDA20" w14:textId="77777777" w:rsidR="00AF757A" w:rsidRPr="009E7178" w:rsidRDefault="00AF757A" w:rsidP="006940EA">
      <w:pPr>
        <w:pStyle w:val="ListParagraph"/>
      </w:pPr>
      <w:r w:rsidRPr="009E7178">
        <w:t>presence of a financial instrument in client’s portfolio at present date or in the past;</w:t>
      </w:r>
    </w:p>
    <w:p w14:paraId="0FC8D2E6" w14:textId="77777777" w:rsidR="00AF757A" w:rsidRPr="009E7178" w:rsidRDefault="00AF757A" w:rsidP="006940EA">
      <w:pPr>
        <w:pStyle w:val="ListParagraph"/>
      </w:pPr>
      <w:r w:rsidRPr="009E7178">
        <w:t>history of meeting margin calls, payment of Company’s fees by a client;</w:t>
      </w:r>
    </w:p>
    <w:p w14:paraId="445183CF" w14:textId="493ABE85" w:rsidR="00B27ECC" w:rsidRPr="009E7178" w:rsidRDefault="00D34ADA" w:rsidP="006940EA">
      <w:pPr>
        <w:pStyle w:val="ListParagraph"/>
      </w:pPr>
      <w:r w:rsidRPr="009E7178">
        <w:t xml:space="preserve">credit rating </w:t>
      </w:r>
      <w:r w:rsidR="00B27ECC" w:rsidRPr="009E7178">
        <w:t xml:space="preserve">and other significant parameters </w:t>
      </w:r>
      <w:r w:rsidRPr="009E7178">
        <w:t>of an issuer o</w:t>
      </w:r>
      <w:r w:rsidR="00B27ECC" w:rsidRPr="009E7178">
        <w:t>f a financial instrument</w:t>
      </w:r>
      <w:r w:rsidR="00524C3B" w:rsidRPr="009E7178">
        <w:t>;</w:t>
      </w:r>
    </w:p>
    <w:p w14:paraId="0713EB7B" w14:textId="32A76F87" w:rsidR="009777C4" w:rsidRPr="009E7178" w:rsidRDefault="00B27ECC" w:rsidP="006940EA">
      <w:pPr>
        <w:pStyle w:val="ListParagraph"/>
      </w:pPr>
      <w:r w:rsidRPr="009E7178">
        <w:t xml:space="preserve">conditions of </w:t>
      </w:r>
      <w:r w:rsidR="00D34ADA" w:rsidRPr="009E7178">
        <w:t>count</w:t>
      </w:r>
      <w:r w:rsidRPr="009E7178">
        <w:t>erparties involved in a transaction with a financial instrument</w:t>
      </w:r>
      <w:r w:rsidR="00D34ADA" w:rsidRPr="009E7178">
        <w:t>;</w:t>
      </w:r>
    </w:p>
    <w:p w14:paraId="264F69CB" w14:textId="1A234DCA" w:rsidR="00AF757A" w:rsidRPr="009E7178" w:rsidRDefault="00AF757A" w:rsidP="006940EA">
      <w:pPr>
        <w:pStyle w:val="ListParagraph"/>
      </w:pPr>
      <w:r w:rsidRPr="009E7178">
        <w:t>requirements of a financial market, an intermediary or any other person which might be involved in a transaction with a financial instrument;</w:t>
      </w:r>
    </w:p>
    <w:p w14:paraId="4F9A58FA" w14:textId="77777777" w:rsidR="00AF757A" w:rsidRPr="009E7178" w:rsidRDefault="00AF757A" w:rsidP="006940EA">
      <w:pPr>
        <w:pStyle w:val="ListParagraph"/>
      </w:pPr>
      <w:r w:rsidRPr="009E7178">
        <w:t>scope of Company’s services provided to a client;</w:t>
      </w:r>
    </w:p>
    <w:p w14:paraId="6F544C8E" w14:textId="77777777" w:rsidR="00AF757A" w:rsidRPr="009E7178" w:rsidRDefault="00AF757A" w:rsidP="006940EA">
      <w:pPr>
        <w:pStyle w:val="ListParagraph"/>
      </w:pPr>
      <w:r w:rsidRPr="009E7178">
        <w:t>applicable law; and/or</w:t>
      </w:r>
    </w:p>
    <w:p w14:paraId="1009C658" w14:textId="77777777" w:rsidR="00AF757A" w:rsidRPr="009E7178" w:rsidRDefault="00AF757A" w:rsidP="006940EA">
      <w:pPr>
        <w:pStyle w:val="ListParagraph"/>
      </w:pPr>
      <w:r w:rsidRPr="009E7178">
        <w:t>other criteria which the Company may find reasonable in particular circumstances.</w:t>
      </w:r>
    </w:p>
    <w:p w14:paraId="620AE107" w14:textId="77777777" w:rsidR="00AF757A" w:rsidRPr="009E7178" w:rsidRDefault="00AF757A" w:rsidP="006940EA">
      <w:pPr>
        <w:pStyle w:val="a0"/>
      </w:pPr>
      <w:r w:rsidRPr="009E7178">
        <w:t>Target market of each type of instrument accessible through the Company, is indicated in Appendix No 1 “Product Description Forms”.</w:t>
      </w:r>
    </w:p>
    <w:p w14:paraId="5FA90817" w14:textId="77777777" w:rsidR="005C0A83" w:rsidRPr="009E7178" w:rsidRDefault="00AF757A" w:rsidP="003F5D07">
      <w:pPr>
        <w:pStyle w:val="a0"/>
      </w:pPr>
      <w:r w:rsidRPr="009E7178">
        <w:t>This principle applies to financial instruments sold on either the primary or secondary market</w:t>
      </w:r>
      <w:r w:rsidR="005C0A83" w:rsidRPr="009E7178">
        <w:t>.</w:t>
      </w:r>
    </w:p>
    <w:p w14:paraId="1BBA757A" w14:textId="1DE7D061" w:rsidR="00614B89" w:rsidRPr="009E7178" w:rsidRDefault="00AF757A" w:rsidP="006940EA">
      <w:pPr>
        <w:pStyle w:val="Listlevel2"/>
      </w:pPr>
      <w:r w:rsidRPr="009E7178">
        <w:t>The obligation to obtain adequate and reliable information applies proportionately depending on</w:t>
      </w:r>
      <w:r w:rsidR="00614B89" w:rsidRPr="009E7178">
        <w:t>:</w:t>
      </w:r>
    </w:p>
    <w:p w14:paraId="5AFB8D00" w14:textId="77777777" w:rsidR="00AF757A" w:rsidRPr="009E7178" w:rsidRDefault="00AF757A" w:rsidP="00A93E1B">
      <w:pPr>
        <w:pStyle w:val="Listlevel3"/>
      </w:pPr>
      <w:r w:rsidRPr="009E7178">
        <w:t xml:space="preserve">the degree to which publicly available information is obtainable; and </w:t>
      </w:r>
    </w:p>
    <w:p w14:paraId="399C7733" w14:textId="77777777" w:rsidR="005C0A83" w:rsidRPr="009E7178" w:rsidRDefault="00AF757A" w:rsidP="00A93E1B">
      <w:pPr>
        <w:pStyle w:val="Listlevel3"/>
      </w:pPr>
      <w:r w:rsidRPr="009E7178">
        <w:t>the complexity of the financial instrument</w:t>
      </w:r>
      <w:r w:rsidR="005C0A83" w:rsidRPr="009E7178">
        <w:t>.</w:t>
      </w:r>
    </w:p>
    <w:p w14:paraId="33C1F016" w14:textId="2391294F" w:rsidR="00AF757A" w:rsidRPr="009E7178" w:rsidRDefault="00AF757A" w:rsidP="006940EA">
      <w:pPr>
        <w:pStyle w:val="Listlevel2"/>
      </w:pPr>
      <w:r w:rsidRPr="009E7178">
        <w:t>Where all relevant information is not publicly available (for example, through the PRIIPs</w:t>
      </w:r>
      <w:r w:rsidR="00DF6760" w:rsidRPr="009E7178">
        <w:t>,</w:t>
      </w:r>
      <w:r w:rsidRPr="009E7178">
        <w:t xml:space="preserve"> KID</w:t>
      </w:r>
      <w:r w:rsidR="003F5D07" w:rsidRPr="009E7178">
        <w:t>s</w:t>
      </w:r>
      <w:r w:rsidRPr="009E7178">
        <w:t xml:space="preserve"> or a prospectus</w:t>
      </w:r>
      <w:r w:rsidR="003F5D07" w:rsidRPr="009E7178">
        <w:t>es</w:t>
      </w:r>
      <w:r w:rsidRPr="009E7178">
        <w:t xml:space="preserve">), the reasonable steps should include entering into an agreement with the </w:t>
      </w:r>
      <w:r w:rsidR="007E2942" w:rsidRPr="009E7178">
        <w:t>Manufacturer</w:t>
      </w:r>
      <w:r w:rsidRPr="009E7178">
        <w:t xml:space="preserve"> or its agent in order to obtain all relevant information enabling the Company to carry out its target market assessment. Acceptable publicly available information is information which is clear, reliable and produced to meet regulatory requirements, for example, information disclosed in compliance with requirements in the EU Prospectus Directive</w:t>
      </w:r>
      <w:r w:rsidR="003F5D07" w:rsidRPr="009E7178">
        <w:rPr>
          <w:rStyle w:val="FootnoteReference"/>
        </w:rPr>
        <w:footnoteReference w:id="16"/>
      </w:r>
      <w:r w:rsidRPr="009E7178">
        <w:t>, the EU Transparency Directive</w:t>
      </w:r>
      <w:r w:rsidR="003F5D07" w:rsidRPr="009E7178">
        <w:rPr>
          <w:rStyle w:val="FootnoteReference"/>
        </w:rPr>
        <w:footnoteReference w:id="17"/>
      </w:r>
      <w:r w:rsidRPr="009E7178">
        <w:t>, the EU UCITS Directive</w:t>
      </w:r>
      <w:r w:rsidR="003F5D07" w:rsidRPr="009E7178">
        <w:rPr>
          <w:rStyle w:val="FootnoteReference"/>
        </w:rPr>
        <w:footnoteReference w:id="18"/>
      </w:r>
      <w:r w:rsidRPr="009E7178">
        <w:t>, the AIFM</w:t>
      </w:r>
      <w:r w:rsidR="00DA3577" w:rsidRPr="009E7178">
        <w:t>D</w:t>
      </w:r>
      <w:r w:rsidR="003F5D07" w:rsidRPr="009E7178">
        <w:rPr>
          <w:rStyle w:val="FootnoteReference"/>
        </w:rPr>
        <w:footnoteReference w:id="19"/>
      </w:r>
      <w:r w:rsidRPr="009E7178">
        <w:t xml:space="preserve"> or third-country equivalent requirements are acceptable.</w:t>
      </w:r>
    </w:p>
    <w:p w14:paraId="32243CA8" w14:textId="768049F5" w:rsidR="00AF757A" w:rsidRPr="009E7178" w:rsidRDefault="00AF757A" w:rsidP="006940EA">
      <w:pPr>
        <w:pStyle w:val="Listlevel2"/>
      </w:pPr>
      <w:r w:rsidRPr="009E7178">
        <w:t xml:space="preserve">Where the Company is not in a position to obtain in any way sufficient information on products from out-of-scope </w:t>
      </w:r>
      <w:r w:rsidR="007E2942" w:rsidRPr="009E7178">
        <w:t>Manufacturer</w:t>
      </w:r>
      <w:r w:rsidRPr="009E7178">
        <w:t>s, or to define on its own the product target market and distribution strategy, it shall refrain from including such products in its product assortment.</w:t>
      </w:r>
    </w:p>
    <w:p w14:paraId="3337C981" w14:textId="77777777" w:rsidR="00AF757A" w:rsidRPr="009E7178" w:rsidRDefault="00AF757A" w:rsidP="006940EA">
      <w:pPr>
        <w:pStyle w:val="Heading1"/>
        <w:numPr>
          <w:ilvl w:val="0"/>
          <w:numId w:val="4"/>
        </w:numPr>
        <w:contextualSpacing w:val="0"/>
        <w:rPr>
          <w:b w:val="0"/>
        </w:rPr>
      </w:pPr>
      <w:bookmarkStart w:id="28" w:name="_Toc137207289"/>
      <w:r w:rsidRPr="009E7178">
        <w:t>Target market and distribution strategy</w:t>
      </w:r>
      <w:bookmarkEnd w:id="28"/>
      <w:r w:rsidRPr="009E7178">
        <w:t xml:space="preserve"> </w:t>
      </w:r>
    </w:p>
    <w:p w14:paraId="5B3990E0" w14:textId="1126BA75" w:rsidR="00614B89" w:rsidRPr="009E7178" w:rsidRDefault="00AF757A" w:rsidP="006940EA">
      <w:pPr>
        <w:pStyle w:val="Listlevel2"/>
      </w:pPr>
      <w:r w:rsidRPr="009E7178">
        <w:t>The Company is authorized for the distribution of the following financial instruments</w:t>
      </w:r>
      <w:bookmarkStart w:id="29" w:name="_Ref131094605"/>
      <w:r w:rsidR="00614B89" w:rsidRPr="009E7178">
        <w:t>:</w:t>
      </w:r>
      <w:bookmarkEnd w:id="29"/>
    </w:p>
    <w:p w14:paraId="7187AD05" w14:textId="77777777" w:rsidR="005C0A83" w:rsidRPr="009E7178" w:rsidRDefault="00AF757A" w:rsidP="00A93E1B">
      <w:pPr>
        <w:pStyle w:val="Listlevel3"/>
      </w:pPr>
      <w:r w:rsidRPr="009E7178">
        <w:t>Transferable securities</w:t>
      </w:r>
      <w:r w:rsidR="005C0A83" w:rsidRPr="009E7178">
        <w:t>;</w:t>
      </w:r>
    </w:p>
    <w:p w14:paraId="57F4E75B" w14:textId="77777777" w:rsidR="005C0A83" w:rsidRPr="009E7178" w:rsidRDefault="00AF757A" w:rsidP="00A93E1B">
      <w:pPr>
        <w:pStyle w:val="Listlevel3"/>
      </w:pPr>
      <w:r w:rsidRPr="009E7178">
        <w:t>Money-market instruments</w:t>
      </w:r>
      <w:r w:rsidR="005C0A83" w:rsidRPr="009E7178">
        <w:t>;</w:t>
      </w:r>
    </w:p>
    <w:p w14:paraId="1C18910D" w14:textId="77777777" w:rsidR="005C0A83" w:rsidRPr="009E7178" w:rsidRDefault="00AF757A" w:rsidP="00A93E1B">
      <w:pPr>
        <w:pStyle w:val="Listlevel3"/>
      </w:pPr>
      <w:r w:rsidRPr="009E7178">
        <w:t>Units in collective investment undertakings</w:t>
      </w:r>
      <w:r w:rsidR="005C0A83" w:rsidRPr="009E7178">
        <w:t>;</w:t>
      </w:r>
    </w:p>
    <w:p w14:paraId="01CE2A40" w14:textId="77777777" w:rsidR="005C0A83" w:rsidRPr="009E7178" w:rsidRDefault="00AF757A" w:rsidP="00A93E1B">
      <w:pPr>
        <w:pStyle w:val="Listlevel3"/>
      </w:pPr>
      <w:r w:rsidRPr="009E7178">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r w:rsidR="005C0A83" w:rsidRPr="009E7178">
        <w:t>;</w:t>
      </w:r>
    </w:p>
    <w:p w14:paraId="3530237D" w14:textId="77777777" w:rsidR="005C0A83" w:rsidRPr="009E7178" w:rsidRDefault="00AF757A" w:rsidP="00A93E1B">
      <w:pPr>
        <w:pStyle w:val="Listlevel3"/>
      </w:pPr>
      <w:r w:rsidRPr="009E7178">
        <w:lastRenderedPageBreak/>
        <w:t>Options, futures, swaps, forwards and any other derivative contracts relating to commodities that must be settled in cash or may be settled in cash at the option of one of the parties other than by reason of default or other termination event</w:t>
      </w:r>
      <w:r w:rsidR="005C0A83" w:rsidRPr="009E7178">
        <w:t>;</w:t>
      </w:r>
    </w:p>
    <w:p w14:paraId="5C22238F" w14:textId="53D814AA" w:rsidR="005C0A83" w:rsidRPr="009E7178" w:rsidRDefault="00AF757A" w:rsidP="00DA3577">
      <w:pPr>
        <w:pStyle w:val="Listlevel3"/>
      </w:pPr>
      <w:bookmarkStart w:id="30" w:name="_Ref114669778"/>
      <w:r w:rsidRPr="009E7178">
        <w:t xml:space="preserve">Options, futures, swaps, and any other derivative contract relating to commodities that can be physically settled provided that they are traded on a regulated market, a </w:t>
      </w:r>
      <w:r w:rsidR="00DA3577" w:rsidRPr="009E7178">
        <w:t>multilateral trading facility (“</w:t>
      </w:r>
      <w:r w:rsidRPr="009E7178">
        <w:rPr>
          <w:b/>
        </w:rPr>
        <w:t>MTF</w:t>
      </w:r>
      <w:r w:rsidR="00DA3577" w:rsidRPr="009E7178">
        <w:t>”)</w:t>
      </w:r>
      <w:r w:rsidRPr="009E7178">
        <w:t xml:space="preserve">, or an </w:t>
      </w:r>
      <w:r w:rsidR="00DA3577" w:rsidRPr="009E7178">
        <w:t>organised trading facility (“</w:t>
      </w:r>
      <w:r w:rsidRPr="009E7178">
        <w:rPr>
          <w:b/>
        </w:rPr>
        <w:t>OTF</w:t>
      </w:r>
      <w:r w:rsidR="00DA3577" w:rsidRPr="009E7178">
        <w:t>”)</w:t>
      </w:r>
      <w:r w:rsidRPr="009E7178">
        <w:t>, except for wholesale energy products traded on an OTF that must be physically settled</w:t>
      </w:r>
      <w:bookmarkEnd w:id="30"/>
      <w:r w:rsidR="005C0A83" w:rsidRPr="009E7178">
        <w:t>;</w:t>
      </w:r>
    </w:p>
    <w:p w14:paraId="39090C4D" w14:textId="15CBD819" w:rsidR="005C0A83" w:rsidRPr="009E7178" w:rsidRDefault="00AF757A" w:rsidP="00A93E1B">
      <w:pPr>
        <w:pStyle w:val="Listlevel3"/>
      </w:pPr>
      <w:r w:rsidRPr="009E7178">
        <w:t>Options, futures, swaps, forwards and any other derivative contracts relating to commodities, that can be physically settled not otherwise mentioned in Section</w:t>
      </w:r>
      <w:r w:rsidR="00D61F57" w:rsidRPr="009E7178">
        <w:t> </w:t>
      </w:r>
      <w:r w:rsidR="00D61F57" w:rsidRPr="009E7178">
        <w:fldChar w:fldCharType="begin"/>
      </w:r>
      <w:r w:rsidR="00D61F57" w:rsidRPr="009E7178">
        <w:instrText xml:space="preserve"> REF _Ref114669778 \w \h </w:instrText>
      </w:r>
      <w:r w:rsidR="00343369" w:rsidRPr="009E7178">
        <w:instrText xml:space="preserve"> \* MERGEFORMAT </w:instrText>
      </w:r>
      <w:r w:rsidR="00D61F57" w:rsidRPr="009E7178">
        <w:fldChar w:fldCharType="separate"/>
      </w:r>
      <w:r w:rsidR="000E7C0F">
        <w:t>7.1(f)</w:t>
      </w:r>
      <w:r w:rsidR="00D61F57" w:rsidRPr="009E7178">
        <w:fldChar w:fldCharType="end"/>
      </w:r>
      <w:r w:rsidRPr="009E7178">
        <w:t xml:space="preserve"> and not being for commercial purposes, which have the characteristics of other derivative financial instruments</w:t>
      </w:r>
      <w:r w:rsidR="005C0A83" w:rsidRPr="009E7178">
        <w:t>;</w:t>
      </w:r>
    </w:p>
    <w:p w14:paraId="78C221FC" w14:textId="77777777" w:rsidR="005C0A83" w:rsidRPr="009E7178" w:rsidRDefault="00AF757A" w:rsidP="00A93E1B">
      <w:pPr>
        <w:pStyle w:val="Listlevel3"/>
      </w:pPr>
      <w:r w:rsidRPr="009E7178">
        <w:t>Derivative instruments for the transfer of credit risk</w:t>
      </w:r>
      <w:r w:rsidR="005C0A83" w:rsidRPr="009E7178">
        <w:t>;</w:t>
      </w:r>
    </w:p>
    <w:p w14:paraId="477AB5BE" w14:textId="77777777" w:rsidR="005C0A83" w:rsidRPr="009E7178" w:rsidRDefault="00AF757A" w:rsidP="00A93E1B">
      <w:pPr>
        <w:pStyle w:val="Listlevel3"/>
      </w:pPr>
      <w:r w:rsidRPr="009E7178">
        <w:t>Financial contracts for differences</w:t>
      </w:r>
      <w:r w:rsidR="005C0A83" w:rsidRPr="009E7178">
        <w:t>;</w:t>
      </w:r>
    </w:p>
    <w:p w14:paraId="03B32B4F" w14:textId="3C638D6C" w:rsidR="005C0A83" w:rsidRPr="009E7178" w:rsidRDefault="00AF757A" w:rsidP="00A93E1B">
      <w:pPr>
        <w:pStyle w:val="Listlevel3"/>
      </w:pPr>
      <w:r w:rsidRPr="009E7178">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w:t>
      </w:r>
      <w:r w:rsidR="00DE0601" w:rsidRPr="009E7178">
        <w:t> </w:t>
      </w:r>
      <w:r w:rsidR="00DE0601" w:rsidRPr="009E7178">
        <w:fldChar w:fldCharType="begin"/>
      </w:r>
      <w:r w:rsidR="00DE0601" w:rsidRPr="009E7178">
        <w:instrText xml:space="preserve"> REF _Ref131094605 \r \h </w:instrText>
      </w:r>
      <w:r w:rsidR="009E7178">
        <w:instrText xml:space="preserve"> \* MERGEFORMAT </w:instrText>
      </w:r>
      <w:r w:rsidR="00DE0601" w:rsidRPr="009E7178">
        <w:fldChar w:fldCharType="separate"/>
      </w:r>
      <w:r w:rsidR="000E7C0F">
        <w:t>7.1</w:t>
      </w:r>
      <w:r w:rsidR="00DE0601" w:rsidRPr="009E7178">
        <w:fldChar w:fldCharType="end"/>
      </w:r>
      <w:r w:rsidRPr="009E7178">
        <w:t>, which have the characteristics of other derivative financial instruments, having regard to whether, inter alia, they are traded on a regulated market, OTF, or an MTF</w:t>
      </w:r>
      <w:r w:rsidR="005C0A83" w:rsidRPr="009E7178">
        <w:t>.</w:t>
      </w:r>
    </w:p>
    <w:p w14:paraId="5B0233BA" w14:textId="482DF665" w:rsidR="005C0A83" w:rsidRPr="009E7178" w:rsidRDefault="00AF757A" w:rsidP="006940EA">
      <w:pPr>
        <w:pStyle w:val="Listlevel2"/>
      </w:pPr>
      <w:r w:rsidRPr="009E7178">
        <w:t>The Company’s Product Governance Committee shall specify the type(s) of a client for whose needs, characteristics and objectives</w:t>
      </w:r>
      <w:r w:rsidR="00236B63" w:rsidRPr="009E7178">
        <w:t>, including any sustainability related objectives,</w:t>
      </w:r>
      <w:r w:rsidRPr="009E7178">
        <w:t xml:space="preserve"> each financial instrument distributed by the Company is compatible (“</w:t>
      </w:r>
      <w:r w:rsidRPr="009E7178">
        <w:rPr>
          <w:b/>
        </w:rPr>
        <w:t>positive target market</w:t>
      </w:r>
      <w:r w:rsidRPr="009E7178">
        <w:t xml:space="preserve">”). The Company must determine the target market for the particular financial instruments it distributes, even if the target market was not defined by the </w:t>
      </w:r>
      <w:r w:rsidR="007E2942" w:rsidRPr="009E7178">
        <w:t>Manufacturer</w:t>
      </w:r>
      <w:r w:rsidR="005C0A83" w:rsidRPr="009E7178">
        <w:t>.</w:t>
      </w:r>
    </w:p>
    <w:p w14:paraId="4A77CD1F" w14:textId="4333A4E0" w:rsidR="00614B89" w:rsidRPr="009E7178" w:rsidRDefault="00AF757A" w:rsidP="006940EA">
      <w:pPr>
        <w:pStyle w:val="Listlevel2"/>
      </w:pPr>
      <w:r w:rsidRPr="009E7178">
        <w:t>The Company must identify the target market and its distribution strategy using</w:t>
      </w:r>
      <w:r w:rsidR="00614B89" w:rsidRPr="009E7178">
        <w:t>:</w:t>
      </w:r>
    </w:p>
    <w:p w14:paraId="325CCAE8" w14:textId="2F49086E" w:rsidR="00AF757A" w:rsidRPr="009E7178" w:rsidRDefault="00AF757A" w:rsidP="00A93E1B">
      <w:pPr>
        <w:pStyle w:val="Listlevel3"/>
      </w:pPr>
      <w:r w:rsidRPr="009E7178">
        <w:t xml:space="preserve">the information obtained from </w:t>
      </w:r>
      <w:r w:rsidR="007E2942" w:rsidRPr="009E7178">
        <w:t>Manufacturer</w:t>
      </w:r>
      <w:r w:rsidRPr="009E7178">
        <w:t xml:space="preserve">s; and </w:t>
      </w:r>
    </w:p>
    <w:p w14:paraId="2CE0F1BC" w14:textId="77777777" w:rsidR="00AF757A" w:rsidRPr="009E7178" w:rsidRDefault="00AF757A" w:rsidP="00A93E1B">
      <w:pPr>
        <w:pStyle w:val="Listlevel3"/>
      </w:pPr>
      <w:r w:rsidRPr="009E7178">
        <w:t>information it has on its own clients.</w:t>
      </w:r>
    </w:p>
    <w:p w14:paraId="25405382" w14:textId="1FD542BF" w:rsidR="005C0A83" w:rsidRPr="009E7178" w:rsidRDefault="00AF757A" w:rsidP="006940EA">
      <w:pPr>
        <w:pStyle w:val="Listlevel2"/>
      </w:pPr>
      <w:r w:rsidRPr="009E7178">
        <w:t xml:space="preserve">Target market identification should occur at an early stage, when the Company’s business policies </w:t>
      </w:r>
      <w:bookmarkStart w:id="31" w:name="_Hlk114752823"/>
      <w:r w:rsidRPr="009E7178">
        <w:t xml:space="preserve">and distribution strategies </w:t>
      </w:r>
      <w:bookmarkEnd w:id="31"/>
      <w:r w:rsidRPr="009E7178">
        <w:t>are defined by the management body and on an ex-ante basis. Assessment on a target market is an integral part of the present Policy (Appendix No</w:t>
      </w:r>
      <w:r w:rsidR="004916AD" w:rsidRPr="009E7178">
        <w:t> </w:t>
      </w:r>
      <w:r w:rsidRPr="009E7178">
        <w:t>1 “</w:t>
      </w:r>
      <w:r w:rsidR="0095141B" w:rsidRPr="009E7178">
        <w:t>Product Description Forms</w:t>
      </w:r>
      <w:r w:rsidRPr="009E7178">
        <w:t>”)</w:t>
      </w:r>
      <w:r w:rsidR="005C0A83" w:rsidRPr="009E7178">
        <w:t>.</w:t>
      </w:r>
    </w:p>
    <w:p w14:paraId="2CE61D35" w14:textId="7E873D1C" w:rsidR="00AF757A" w:rsidRPr="009E7178" w:rsidRDefault="00AF757A" w:rsidP="006940EA">
      <w:pPr>
        <w:pStyle w:val="Listlevel2"/>
      </w:pPr>
      <w:bookmarkStart w:id="32" w:name="_Ref114670036"/>
      <w:r w:rsidRPr="009E7178">
        <w:t>In identifying the target market and creating a distribution strategy, the Company should consider the following list of five (5) categories:</w:t>
      </w:r>
      <w:bookmarkEnd w:id="32"/>
    </w:p>
    <w:p w14:paraId="12FB4D47" w14:textId="77777777" w:rsidR="00AF757A" w:rsidRPr="009E7178" w:rsidRDefault="00AF757A" w:rsidP="00A93E1B">
      <w:pPr>
        <w:pStyle w:val="Listlevel3"/>
        <w:rPr>
          <w:lang w:eastAsia="ar-SA"/>
        </w:rPr>
      </w:pPr>
      <w:r w:rsidRPr="009E7178">
        <w:rPr>
          <w:u w:val="single"/>
        </w:rPr>
        <w:t>client type</w:t>
      </w:r>
      <w:r w:rsidRPr="009E7178">
        <w:t>: “retail client”, “professional client”, “eligible counterparty”.</w:t>
      </w:r>
    </w:p>
    <w:p w14:paraId="4DD05A29" w14:textId="77777777" w:rsidR="00AF757A" w:rsidRPr="009E7178" w:rsidRDefault="00AF757A" w:rsidP="00A93E1B">
      <w:pPr>
        <w:pStyle w:val="Listlevel3"/>
      </w:pPr>
      <w:r w:rsidRPr="009E7178">
        <w:rPr>
          <w:u w:val="single"/>
        </w:rPr>
        <w:t>knowledge and experience</w:t>
      </w:r>
      <w:r w:rsidRPr="009E7178">
        <w:t>: knowledge and experience about elements such as the product type, product features and/ or knowledge/ experience in thematically related areas to help the client understand the product; knowledge and experience may be dependent on each other in some cases.</w:t>
      </w:r>
    </w:p>
    <w:p w14:paraId="4D1FA7AB" w14:textId="77777777" w:rsidR="00AF757A" w:rsidRPr="009E7178" w:rsidRDefault="00AF757A" w:rsidP="00A93E1B">
      <w:pPr>
        <w:pStyle w:val="Listlevel3"/>
      </w:pPr>
      <w:r w:rsidRPr="009E7178">
        <w:rPr>
          <w:u w:val="single"/>
        </w:rPr>
        <w:t>financial situation with a focus on the ability to bear losses</w:t>
      </w:r>
      <w:r w:rsidRPr="009E7178">
        <w:t xml:space="preserve">: the percentage of losses target clients are able and willing to afford must be specified; the Company should also specify if there </w:t>
      </w:r>
      <w:r w:rsidRPr="009E7178">
        <w:lastRenderedPageBreak/>
        <w:t>are any additional payment obligations that might exceed the invested amount (e.g., margin calls).</w:t>
      </w:r>
    </w:p>
    <w:p w14:paraId="52701D9E" w14:textId="77777777" w:rsidR="00AF757A" w:rsidRPr="009E7178" w:rsidRDefault="00AF757A" w:rsidP="00A93E1B">
      <w:pPr>
        <w:pStyle w:val="Listlevel3"/>
      </w:pPr>
      <w:r w:rsidRPr="009E7178">
        <w:rPr>
          <w:u w:val="single"/>
        </w:rPr>
        <w:t>risk tolerance and compatibility of the risk/ reward profile of the product with the target market</w:t>
      </w:r>
      <w:r w:rsidRPr="009E7178">
        <w:t>: the general attitude that target clients should have in relation to the risks of investment must be specified and described (e.g. “risk-oriented or speculative”, “balanced”, “conservative”).</w:t>
      </w:r>
    </w:p>
    <w:p w14:paraId="322D0FB7" w14:textId="77777777" w:rsidR="00AF757A" w:rsidRPr="009E7178" w:rsidRDefault="00AF757A" w:rsidP="00A93E1B">
      <w:pPr>
        <w:pStyle w:val="Listlevel3"/>
      </w:pPr>
      <w:r w:rsidRPr="009E7178">
        <w:rPr>
          <w:u w:val="single"/>
        </w:rPr>
        <w:t>clients’ objectives and needs</w:t>
      </w:r>
      <w:r w:rsidRPr="009E7178">
        <w:t>: the wider financial goals of target clients or the overall strategy they follow when investing must also be specified (e.g. the expected investment horizon - number of years the investment is to be held); the clients’ objectives and needs may vary from specific to more generic.</w:t>
      </w:r>
    </w:p>
    <w:p w14:paraId="05C0A6BE" w14:textId="77777777" w:rsidR="00AF757A" w:rsidRPr="009E7178" w:rsidRDefault="00AF757A" w:rsidP="006940EA">
      <w:pPr>
        <w:pStyle w:val="Listlevel2"/>
      </w:pPr>
      <w:bookmarkStart w:id="33" w:name="_Ref131095823"/>
      <w:r w:rsidRPr="009E7178">
        <w:rPr>
          <w:bCs/>
        </w:rPr>
        <w:t xml:space="preserve">In addition, </w:t>
      </w:r>
      <w:r w:rsidRPr="009E7178">
        <w:t>the Company shall consider:</w:t>
      </w:r>
      <w:bookmarkEnd w:id="33"/>
    </w:p>
    <w:p w14:paraId="5AFD11FC" w14:textId="4DFCB89D" w:rsidR="005C0A83" w:rsidRPr="009E7178" w:rsidRDefault="00AF757A" w:rsidP="00A93E1B">
      <w:pPr>
        <w:pStyle w:val="Listlevel3"/>
      </w:pPr>
      <w:r w:rsidRPr="009E7178">
        <w:t>the nature of financial instruments to be offered or recommended and how they meet clients’ needs, objectives and risk appetite</w:t>
      </w:r>
      <w:r w:rsidR="005C0A83" w:rsidRPr="009E7178">
        <w:t>;</w:t>
      </w:r>
    </w:p>
    <w:p w14:paraId="7CDE8CF9" w14:textId="04E1E981" w:rsidR="00975E2F" w:rsidRPr="009E7178" w:rsidRDefault="00975E2F" w:rsidP="00975E2F">
      <w:pPr>
        <w:pStyle w:val="Listlevel3"/>
      </w:pPr>
      <w:bookmarkStart w:id="34" w:name="_Ref131608043"/>
      <w:r w:rsidRPr="009E7178">
        <w:t>sustainability factors of the financial instruments and how they meet clients’ sustainability preferences;</w:t>
      </w:r>
      <w:bookmarkEnd w:id="34"/>
    </w:p>
    <w:p w14:paraId="7792CC89" w14:textId="77777777" w:rsidR="005C0A83" w:rsidRPr="009E7178" w:rsidRDefault="00AF757A" w:rsidP="00A93E1B">
      <w:pPr>
        <w:pStyle w:val="Listlevel3"/>
      </w:pPr>
      <w:r w:rsidRPr="009E7178">
        <w:t>the impact of charges on end clients</w:t>
      </w:r>
      <w:r w:rsidR="005C0A83" w:rsidRPr="009E7178">
        <w:t>;</w:t>
      </w:r>
    </w:p>
    <w:p w14:paraId="686137EA" w14:textId="734345FC" w:rsidR="00AF757A" w:rsidRPr="009E7178" w:rsidRDefault="00AF757A" w:rsidP="00A93E1B">
      <w:pPr>
        <w:pStyle w:val="Listlevel3"/>
      </w:pPr>
      <w:r w:rsidRPr="009E7178">
        <w:t xml:space="preserve">the financial strength of the </w:t>
      </w:r>
      <w:r w:rsidR="007E2942" w:rsidRPr="009E7178">
        <w:t>Manufacturer</w:t>
      </w:r>
      <w:r w:rsidRPr="009E7178">
        <w:t xml:space="preserve">; and </w:t>
      </w:r>
    </w:p>
    <w:p w14:paraId="663D054E" w14:textId="27DBF7B1" w:rsidR="005C0A83" w:rsidRPr="009E7178" w:rsidRDefault="00AF757A" w:rsidP="00A93E1B">
      <w:pPr>
        <w:pStyle w:val="Listlevel3"/>
      </w:pPr>
      <w:r w:rsidRPr="009E7178">
        <w:t xml:space="preserve">where information is available on the </w:t>
      </w:r>
      <w:r w:rsidR="007E2942" w:rsidRPr="009E7178">
        <w:t>Manufacturer</w:t>
      </w:r>
      <w:r w:rsidRPr="009E7178">
        <w:t xml:space="preserve">’s processes, how efficiently and reliably the </w:t>
      </w:r>
      <w:r w:rsidR="007E2942" w:rsidRPr="009E7178">
        <w:t>Manufacturer</w:t>
      </w:r>
      <w:r w:rsidRPr="009E7178">
        <w:t xml:space="preserve"> will deal with the end client at the point of sale or subsequently, such as when complaints arise, claims are made or the financial instrument reaches maturity</w:t>
      </w:r>
      <w:r w:rsidR="005C0A83" w:rsidRPr="009E7178">
        <w:t>;</w:t>
      </w:r>
    </w:p>
    <w:p w14:paraId="5D8AED1F" w14:textId="485460E9" w:rsidR="00AF757A" w:rsidRPr="009E7178" w:rsidRDefault="00AF757A" w:rsidP="006940EA">
      <w:pPr>
        <w:pStyle w:val="Listlevel2"/>
      </w:pPr>
      <w:r w:rsidRPr="009E7178">
        <w:t xml:space="preserve">The target market identified by the Company for each financial instrument should be identified at a sufficiently </w:t>
      </w:r>
      <w:r w:rsidR="00BB0008" w:rsidRPr="009E7178">
        <w:t xml:space="preserve">detailed </w:t>
      </w:r>
      <w:r w:rsidRPr="009E7178">
        <w:t>level subject to Section</w:t>
      </w:r>
      <w:r w:rsidR="00DE0601" w:rsidRPr="009E7178">
        <w:t> </w:t>
      </w:r>
      <w:r w:rsidR="00D61F57" w:rsidRPr="009E7178">
        <w:fldChar w:fldCharType="begin"/>
      </w:r>
      <w:r w:rsidR="00D61F57" w:rsidRPr="009E7178">
        <w:instrText xml:space="preserve"> REF _Ref114669799 \w \h </w:instrText>
      </w:r>
      <w:r w:rsidR="00343369" w:rsidRPr="009E7178">
        <w:instrText xml:space="preserve"> \* MERGEFORMAT </w:instrText>
      </w:r>
      <w:r w:rsidR="00D61F57" w:rsidRPr="009E7178">
        <w:fldChar w:fldCharType="separate"/>
      </w:r>
      <w:r w:rsidR="000E7C0F">
        <w:t>6.2</w:t>
      </w:r>
      <w:r w:rsidR="00D61F57" w:rsidRPr="009E7178">
        <w:fldChar w:fldCharType="end"/>
      </w:r>
      <w:r w:rsidR="00BB0008" w:rsidRPr="009E7178">
        <w:t xml:space="preserve"> (granular approach)</w:t>
      </w:r>
      <w:r w:rsidRPr="009E7178">
        <w:t>. For more complicated products, the target market shall be identified with more detail, while for simpler, more common products, the target market could be identified with less detail.</w:t>
      </w:r>
    </w:p>
    <w:p w14:paraId="4552BF9F" w14:textId="6BD02032" w:rsidR="00BB0008" w:rsidRPr="009E7178" w:rsidRDefault="00032F2E" w:rsidP="00B57BFF">
      <w:pPr>
        <w:pStyle w:val="Listlevel2withoutnumber"/>
      </w:pPr>
      <w:r w:rsidRPr="009E7178">
        <w:t>On the contrary t</w:t>
      </w:r>
      <w:r w:rsidR="00433B16" w:rsidRPr="009E7178">
        <w:t>he Company may identify a targe</w:t>
      </w:r>
      <w:r w:rsidR="00632630" w:rsidRPr="009E7178">
        <w:t>t market per cluster of product types</w:t>
      </w:r>
      <w:r w:rsidR="00433B16" w:rsidRPr="009E7178">
        <w:t xml:space="preserve"> instead of per individual product </w:t>
      </w:r>
      <w:r w:rsidR="00632630" w:rsidRPr="009E7178">
        <w:t xml:space="preserve">type </w:t>
      </w:r>
      <w:r w:rsidR="00433B16" w:rsidRPr="009E7178">
        <w:t>(clustering approach)</w:t>
      </w:r>
      <w:r w:rsidR="006F53F9" w:rsidRPr="009E7178">
        <w:t xml:space="preserve">. </w:t>
      </w:r>
      <w:r w:rsidR="00632630" w:rsidRPr="009E7178">
        <w:t xml:space="preserve">The lower the complexity of the product </w:t>
      </w:r>
      <w:r w:rsidR="00346072" w:rsidRPr="009E7178">
        <w:t xml:space="preserve">or underlying instrument </w:t>
      </w:r>
      <w:r w:rsidR="00632630" w:rsidRPr="009E7178">
        <w:t xml:space="preserve">the more clustering approach is used to describe key characteristics of </w:t>
      </w:r>
      <w:r w:rsidR="00DF64F7" w:rsidRPr="009E7178">
        <w:t>product types</w:t>
      </w:r>
      <w:r w:rsidR="00632630" w:rsidRPr="009E7178">
        <w:t>.</w:t>
      </w:r>
    </w:p>
    <w:p w14:paraId="26B7F6BC" w14:textId="23F47716" w:rsidR="00B57BFF" w:rsidRPr="009E7178" w:rsidRDefault="00BB0008" w:rsidP="00B57BFF">
      <w:pPr>
        <w:pStyle w:val="Listlevel2withoutnumber"/>
      </w:pPr>
      <w:r w:rsidRPr="009E7178">
        <w:t>The Company uses</w:t>
      </w:r>
      <w:r w:rsidR="006F53F9" w:rsidRPr="009E7178">
        <w:t xml:space="preserve"> </w:t>
      </w:r>
      <w:r w:rsidRPr="009E7178">
        <w:t xml:space="preserve">both </w:t>
      </w:r>
      <w:r w:rsidR="006F53F9" w:rsidRPr="009E7178">
        <w:t>approach</w:t>
      </w:r>
      <w:r w:rsidRPr="009E7178">
        <w:t>es</w:t>
      </w:r>
      <w:r w:rsidR="006F53F9" w:rsidRPr="009E7178">
        <w:t xml:space="preserve"> </w:t>
      </w:r>
      <w:r w:rsidR="004916AD" w:rsidRPr="009E7178">
        <w:t xml:space="preserve">for complex and non-complex products </w:t>
      </w:r>
      <w:r w:rsidR="006F53F9" w:rsidRPr="009E7178">
        <w:t>in Appendix No</w:t>
      </w:r>
      <w:r w:rsidR="004916AD" w:rsidRPr="009E7178">
        <w:t> </w:t>
      </w:r>
      <w:r w:rsidR="006F53F9" w:rsidRPr="009E7178">
        <w:t>1 “Product Description Forms”.</w:t>
      </w:r>
    </w:p>
    <w:p w14:paraId="7104FFBE" w14:textId="451618B9" w:rsidR="00614B89" w:rsidRPr="009E7178" w:rsidRDefault="00AF757A" w:rsidP="006940EA">
      <w:pPr>
        <w:pStyle w:val="Listlevel2"/>
      </w:pPr>
      <w:r w:rsidRPr="009E7178">
        <w:t>In accordance with the above, the Company should, in relation to each financial instrument, at least identify</w:t>
      </w:r>
      <w:r w:rsidR="00614B89" w:rsidRPr="009E7178">
        <w:t>:</w:t>
      </w:r>
    </w:p>
    <w:p w14:paraId="5FC5E9F1" w14:textId="12EA8176" w:rsidR="00AF757A" w:rsidRPr="009E7178" w:rsidRDefault="00AF757A" w:rsidP="00A93E1B">
      <w:pPr>
        <w:pStyle w:val="Listlevel3"/>
      </w:pPr>
      <w:r w:rsidRPr="009E7178">
        <w:t>the client type category</w:t>
      </w:r>
      <w:r w:rsidR="00DD1BAE" w:rsidRPr="009E7178">
        <w:t>. Financial instruments</w:t>
      </w:r>
      <w:r w:rsidR="00D613B4" w:rsidRPr="009E7178">
        <w:t xml:space="preserve"> </w:t>
      </w:r>
      <w:r w:rsidR="00DD1BAE" w:rsidRPr="009E7178">
        <w:t>could be:</w:t>
      </w:r>
    </w:p>
    <w:p w14:paraId="63F67E99" w14:textId="49754377" w:rsidR="00D613B4" w:rsidRPr="009E7178" w:rsidRDefault="00D613B4" w:rsidP="00D613B4">
      <w:pPr>
        <w:pStyle w:val="Listlevel4"/>
        <w:rPr>
          <w:szCs w:val="22"/>
        </w:rPr>
      </w:pPr>
      <w:r w:rsidRPr="009E7178">
        <w:rPr>
          <w:szCs w:val="22"/>
        </w:rPr>
        <w:t>for all investor types (including retail clients);</w:t>
      </w:r>
    </w:p>
    <w:p w14:paraId="02639238" w14:textId="32A9FD87" w:rsidR="00D613B4" w:rsidRPr="009E7178" w:rsidRDefault="00D613B4" w:rsidP="00D613B4">
      <w:pPr>
        <w:pStyle w:val="Listlevel4"/>
        <w:rPr>
          <w:szCs w:val="22"/>
        </w:rPr>
      </w:pPr>
      <w:r w:rsidRPr="009E7178">
        <w:rPr>
          <w:szCs w:val="22"/>
        </w:rPr>
        <w:t>for professional clients, including per se professional clients and elective professional clients;</w:t>
      </w:r>
    </w:p>
    <w:p w14:paraId="40ED31A1" w14:textId="3E7000F4" w:rsidR="00D613B4" w:rsidRPr="009E7178" w:rsidRDefault="00D613B4" w:rsidP="00D613B4">
      <w:pPr>
        <w:pStyle w:val="Listlevel4"/>
        <w:rPr>
          <w:szCs w:val="22"/>
        </w:rPr>
      </w:pPr>
      <w:r w:rsidRPr="009E7178">
        <w:rPr>
          <w:szCs w:val="22"/>
        </w:rPr>
        <w:t>for per se professional clients and eligible counterparties;</w:t>
      </w:r>
    </w:p>
    <w:p w14:paraId="623E022B" w14:textId="69E17378" w:rsidR="005C0A83" w:rsidRPr="009E7178" w:rsidRDefault="00AF757A" w:rsidP="00A93E1B">
      <w:pPr>
        <w:pStyle w:val="Listlevel3"/>
      </w:pPr>
      <w:r w:rsidRPr="009E7178">
        <w:t>the distribution channel category</w:t>
      </w:r>
      <w:r w:rsidR="00D613B4" w:rsidRPr="009E7178">
        <w:t xml:space="preserve"> and strategy for products (see Section </w:t>
      </w:r>
      <w:r w:rsidR="00D613B4" w:rsidRPr="009E7178">
        <w:fldChar w:fldCharType="begin"/>
      </w:r>
      <w:r w:rsidR="00D613B4" w:rsidRPr="009E7178">
        <w:instrText xml:space="preserve"> REF _Ref114670025 \w \h  \* MERGEFORMAT </w:instrText>
      </w:r>
      <w:r w:rsidR="00D613B4" w:rsidRPr="009E7178">
        <w:fldChar w:fldCharType="separate"/>
      </w:r>
      <w:r w:rsidR="000E7C0F">
        <w:t>11</w:t>
      </w:r>
      <w:r w:rsidR="00D613B4" w:rsidRPr="009E7178">
        <w:fldChar w:fldCharType="end"/>
      </w:r>
      <w:r w:rsidR="00D613B4" w:rsidRPr="009E7178">
        <w:t>)</w:t>
      </w:r>
      <w:r w:rsidR="00DD1BAE" w:rsidRPr="009E7178">
        <w:t>. Financial instruments could be those which are</w:t>
      </w:r>
      <w:r w:rsidR="00D613B4" w:rsidRPr="009E7178">
        <w:t>:</w:t>
      </w:r>
    </w:p>
    <w:p w14:paraId="3B2F0485" w14:textId="77777777" w:rsidR="00D613B4" w:rsidRPr="009E7178" w:rsidRDefault="00D613B4" w:rsidP="00D613B4">
      <w:pPr>
        <w:pStyle w:val="Listlevel4"/>
        <w:rPr>
          <w:szCs w:val="22"/>
        </w:rPr>
      </w:pPr>
      <w:r w:rsidRPr="009E7178">
        <w:rPr>
          <w:szCs w:val="22"/>
        </w:rPr>
        <w:t>offered</w:t>
      </w:r>
      <w:r w:rsidRPr="009E7178" w:rsidDel="00DF4823">
        <w:rPr>
          <w:szCs w:val="22"/>
        </w:rPr>
        <w:t xml:space="preserve"> </w:t>
      </w:r>
      <w:r w:rsidRPr="009E7178">
        <w:rPr>
          <w:szCs w:val="22"/>
        </w:rPr>
        <w:t>on execution-only regime with no active marketing;</w:t>
      </w:r>
    </w:p>
    <w:p w14:paraId="15CD3377" w14:textId="77777777" w:rsidR="00D613B4" w:rsidRPr="009E7178" w:rsidRDefault="00D613B4" w:rsidP="00D613B4">
      <w:pPr>
        <w:pStyle w:val="Listlevel4"/>
        <w:rPr>
          <w:szCs w:val="22"/>
        </w:rPr>
      </w:pPr>
      <w:r w:rsidRPr="009E7178">
        <w:rPr>
          <w:szCs w:val="22"/>
        </w:rPr>
        <w:lastRenderedPageBreak/>
        <w:t>offered or actively marketed to certain groups of clients (characterized by common features in terms of knowledge, experience, financial situation etc.);</w:t>
      </w:r>
    </w:p>
    <w:p w14:paraId="7C3C2B34" w14:textId="77777777" w:rsidR="00D613B4" w:rsidRPr="009E7178" w:rsidRDefault="00D613B4" w:rsidP="00D613B4">
      <w:pPr>
        <w:pStyle w:val="Listlevel4"/>
        <w:rPr>
          <w:szCs w:val="22"/>
        </w:rPr>
      </w:pPr>
      <w:r w:rsidRPr="009E7178">
        <w:rPr>
          <w:szCs w:val="22"/>
        </w:rPr>
        <w:t>offered in the context of the service of portfolio management.</w:t>
      </w:r>
    </w:p>
    <w:p w14:paraId="059671E7" w14:textId="5C38E69F" w:rsidR="00AF757A" w:rsidRPr="009E7178" w:rsidRDefault="00AF757A" w:rsidP="006940EA">
      <w:pPr>
        <w:pStyle w:val="Listlevel2"/>
      </w:pPr>
      <w:r w:rsidRPr="009E7178">
        <w:t>The Company must have in place adequate product governance arrangements to ensure that:</w:t>
      </w:r>
    </w:p>
    <w:p w14:paraId="779C66C8" w14:textId="5AD94288" w:rsidR="00AF757A" w:rsidRPr="009E7178" w:rsidRDefault="00AF757A" w:rsidP="00A93E1B">
      <w:pPr>
        <w:pStyle w:val="Listlevel3"/>
      </w:pPr>
      <w:r w:rsidRPr="009E7178">
        <w:t>the financial instruments and investment services they intend to distribute are compatible with the needs, characteristics and objectives</w:t>
      </w:r>
      <w:r w:rsidR="00307B90" w:rsidRPr="009E7178">
        <w:t>, including any sustainability related objectives,</w:t>
      </w:r>
      <w:r w:rsidRPr="009E7178">
        <w:t xml:space="preserve"> of the identified target market; and </w:t>
      </w:r>
    </w:p>
    <w:p w14:paraId="4F213F18" w14:textId="77777777" w:rsidR="005C0A83" w:rsidRPr="009E7178" w:rsidRDefault="00AF757A" w:rsidP="00A93E1B">
      <w:pPr>
        <w:pStyle w:val="Listlevel3"/>
      </w:pPr>
      <w:r w:rsidRPr="009E7178">
        <w:t>the intended distribution strategy is consistent with the identified target market</w:t>
      </w:r>
      <w:r w:rsidR="005C0A83" w:rsidRPr="009E7178">
        <w:t>.</w:t>
      </w:r>
    </w:p>
    <w:p w14:paraId="0E99A124" w14:textId="4F117754" w:rsidR="005C0A83" w:rsidRPr="009E7178" w:rsidRDefault="00AF757A" w:rsidP="006940EA">
      <w:pPr>
        <w:pStyle w:val="Listlevel2"/>
      </w:pPr>
      <w:bookmarkStart w:id="35" w:name="_Ref131595588"/>
      <w:r w:rsidRPr="009E7178">
        <w:t>The Company must appropriately identify and assess the circumstances and needs of the clients they intend to focus on to ensure that their clients’ interests are not compromised as a result of commercial or funding pressures</w:t>
      </w:r>
      <w:r w:rsidR="005C0A83" w:rsidRPr="009E7178">
        <w:t>.</w:t>
      </w:r>
      <w:bookmarkEnd w:id="35"/>
    </w:p>
    <w:p w14:paraId="24285E96" w14:textId="498857DF" w:rsidR="005C0A83" w:rsidRPr="009E7178" w:rsidRDefault="00AF757A" w:rsidP="006940EA">
      <w:pPr>
        <w:pStyle w:val="Listlevel2"/>
      </w:pPr>
      <w:bookmarkStart w:id="36" w:name="_Ref131595591"/>
      <w:r w:rsidRPr="009E7178">
        <w:t>The Company must identify any groups of end clients for whose needs, characteristics and objectives the financial instrument or investment service is not compatible (“</w:t>
      </w:r>
      <w:r w:rsidRPr="009E7178">
        <w:rPr>
          <w:b/>
        </w:rPr>
        <w:t>negative target market</w:t>
      </w:r>
      <w:r w:rsidRPr="009E7178">
        <w:t xml:space="preserve">”), by using the same five categories as stated above in </w:t>
      </w:r>
      <w:r w:rsidR="00D61F57" w:rsidRPr="009E7178">
        <w:t>Section </w:t>
      </w:r>
      <w:r w:rsidR="00D61F57" w:rsidRPr="009E7178">
        <w:fldChar w:fldCharType="begin"/>
      </w:r>
      <w:r w:rsidR="00D61F57" w:rsidRPr="009E7178">
        <w:instrText xml:space="preserve"> REF _Ref114670036 \w \h </w:instrText>
      </w:r>
      <w:r w:rsidR="00343369" w:rsidRPr="009E7178">
        <w:instrText xml:space="preserve"> \* MERGEFORMAT </w:instrText>
      </w:r>
      <w:r w:rsidR="00D61F57" w:rsidRPr="009E7178">
        <w:fldChar w:fldCharType="separate"/>
      </w:r>
      <w:r w:rsidR="000E7C0F">
        <w:t>7.5</w:t>
      </w:r>
      <w:r w:rsidR="00D61F57" w:rsidRPr="009E7178">
        <w:fldChar w:fldCharType="end"/>
      </w:r>
      <w:r w:rsidR="00307B90" w:rsidRPr="009E7178">
        <w:t>, except where sustainability factors</w:t>
      </w:r>
      <w:r w:rsidR="0076069A" w:rsidRPr="009E7178">
        <w:t xml:space="preserve"> are needed to be taken into consideration</w:t>
      </w:r>
      <w:r w:rsidR="005C0A83" w:rsidRPr="009E7178">
        <w:t>.</w:t>
      </w:r>
      <w:bookmarkEnd w:id="36"/>
    </w:p>
    <w:p w14:paraId="5FF59F72" w14:textId="0E9FE1F4" w:rsidR="005C0A83" w:rsidRPr="009E7178" w:rsidRDefault="00DF4823" w:rsidP="006940EA">
      <w:pPr>
        <w:pStyle w:val="Listlevel2"/>
      </w:pPr>
      <w:r w:rsidRPr="009E7178">
        <w:t xml:space="preserve">The </w:t>
      </w:r>
      <w:r w:rsidR="00AF757A" w:rsidRPr="009E7178">
        <w:t>obligation of the Company to identify the actual target market and to ensure that a product is distributed in accordance with the actual target market, is not substituted by an assessment of suitability or appropriateness and has to be conducted in addition to, and before such an assessment</w:t>
      </w:r>
      <w:r w:rsidR="005C0A83" w:rsidRPr="009E7178">
        <w:t>.</w:t>
      </w:r>
    </w:p>
    <w:p w14:paraId="370629C4" w14:textId="2EF8D5FA" w:rsidR="005C0A83" w:rsidRPr="009E7178" w:rsidRDefault="00AF757A" w:rsidP="006940EA">
      <w:pPr>
        <w:pStyle w:val="Listlevel2"/>
      </w:pPr>
      <w:r w:rsidRPr="009E7178">
        <w:t xml:space="preserve">The Company should take particular care to ensure compliance with the principles in </w:t>
      </w:r>
      <w:r w:rsidR="007208D5" w:rsidRPr="009E7178">
        <w:t xml:space="preserve">Sections </w:t>
      </w:r>
      <w:r w:rsidR="007208D5" w:rsidRPr="009E7178">
        <w:fldChar w:fldCharType="begin"/>
      </w:r>
      <w:r w:rsidR="007208D5" w:rsidRPr="009E7178">
        <w:instrText xml:space="preserve"> REF _Ref131595588 \w \h  \* MERGEFORMAT </w:instrText>
      </w:r>
      <w:r w:rsidR="007208D5" w:rsidRPr="009E7178">
        <w:fldChar w:fldCharType="separate"/>
      </w:r>
      <w:r w:rsidR="000E7C0F">
        <w:t>7.10</w:t>
      </w:r>
      <w:r w:rsidR="007208D5" w:rsidRPr="009E7178">
        <w:fldChar w:fldCharType="end"/>
      </w:r>
      <w:r w:rsidR="007208D5" w:rsidRPr="009E7178">
        <w:t>–</w:t>
      </w:r>
      <w:r w:rsidR="007208D5" w:rsidRPr="009E7178">
        <w:fldChar w:fldCharType="begin"/>
      </w:r>
      <w:r w:rsidR="007208D5" w:rsidRPr="009E7178">
        <w:instrText xml:space="preserve"> REF _Ref131595591 \w \h  \* MERGEFORMAT </w:instrText>
      </w:r>
      <w:r w:rsidR="007208D5" w:rsidRPr="009E7178">
        <w:fldChar w:fldCharType="separate"/>
      </w:r>
      <w:r w:rsidR="000E7C0F">
        <w:t>7.11</w:t>
      </w:r>
      <w:r w:rsidR="007208D5" w:rsidRPr="009E7178">
        <w:fldChar w:fldCharType="end"/>
      </w:r>
      <w:r w:rsidRPr="009E7178">
        <w:t xml:space="preserve"> when it intends to distribute new financial instruments or there are variations to the investment services it provides</w:t>
      </w:r>
      <w:r w:rsidR="005C0A83" w:rsidRPr="009E7178">
        <w:t>.</w:t>
      </w:r>
    </w:p>
    <w:p w14:paraId="158BD6F2" w14:textId="1ED65F11" w:rsidR="005C0A83" w:rsidRPr="009E7178" w:rsidRDefault="00AF757A" w:rsidP="006940EA">
      <w:pPr>
        <w:pStyle w:val="Listlevel2"/>
      </w:pPr>
      <w:r w:rsidRPr="009E7178">
        <w:t>The Company should periodically</w:t>
      </w:r>
      <w:r w:rsidR="005F274F" w:rsidRPr="009E7178">
        <w:t xml:space="preserve"> but at least annually</w:t>
      </w:r>
      <w:r w:rsidRPr="009E7178">
        <w:t xml:space="preserve"> review its product governance arrangements and must take appropriate actions where necessary to ensure they remain robust and fit for their purpose</w:t>
      </w:r>
      <w:r w:rsidR="005C0A83" w:rsidRPr="009E7178">
        <w:t>.</w:t>
      </w:r>
    </w:p>
    <w:p w14:paraId="44B900C5" w14:textId="77777777" w:rsidR="00953A80" w:rsidRPr="009E7178" w:rsidRDefault="00953A80" w:rsidP="00953A80">
      <w:pPr>
        <w:pStyle w:val="Heading1"/>
        <w:numPr>
          <w:ilvl w:val="0"/>
          <w:numId w:val="4"/>
        </w:numPr>
        <w:contextualSpacing w:val="0"/>
      </w:pPr>
      <w:bookmarkStart w:id="37" w:name="_Toc137207290"/>
      <w:r w:rsidRPr="009E7178">
        <w:t>Product Governance Committee</w:t>
      </w:r>
      <w:bookmarkEnd w:id="37"/>
    </w:p>
    <w:p w14:paraId="085F53A5" w14:textId="576E3597" w:rsidR="00953A80" w:rsidRPr="009E7178" w:rsidRDefault="00953A80" w:rsidP="00077B5A">
      <w:pPr>
        <w:pStyle w:val="Listlevel2"/>
      </w:pPr>
      <w:r w:rsidRPr="009E7178">
        <w:t>The Company establishes the Product Governance Committee (the “</w:t>
      </w:r>
      <w:r w:rsidRPr="009E7178">
        <w:rPr>
          <w:b/>
        </w:rPr>
        <w:t>Committee</w:t>
      </w:r>
      <w:r w:rsidRPr="009E7178">
        <w:t xml:space="preserve">”), which is </w:t>
      </w:r>
      <w:r w:rsidRPr="009E7178">
        <w:rPr>
          <w:bCs/>
        </w:rPr>
        <w:t>appointed by the Senior Management</w:t>
      </w:r>
      <w:r w:rsidRPr="009E7178">
        <w:t xml:space="preserve"> and shall consist of at least:</w:t>
      </w:r>
    </w:p>
    <w:p w14:paraId="4C189EC2" w14:textId="77777777" w:rsidR="00953A80" w:rsidRPr="009E7178" w:rsidRDefault="00953A80" w:rsidP="00077B5A">
      <w:pPr>
        <w:pStyle w:val="Listlevel3"/>
      </w:pPr>
      <w:r w:rsidRPr="009E7178">
        <w:t>2 (two) Non-Executive Directors; and</w:t>
      </w:r>
    </w:p>
    <w:p w14:paraId="678F4CB2" w14:textId="3FE030B8" w:rsidR="00953A80" w:rsidRPr="009E7178" w:rsidRDefault="00953A80" w:rsidP="00077B5A">
      <w:pPr>
        <w:pStyle w:val="Listlevel3"/>
      </w:pPr>
      <w:bookmarkStart w:id="38" w:name="_Ref135326915"/>
      <w:r w:rsidRPr="009E7178">
        <w:t xml:space="preserve">1 (one) </w:t>
      </w:r>
      <w:r w:rsidR="005A2F1E" w:rsidRPr="009E7178">
        <w:t xml:space="preserve">person </w:t>
      </w:r>
      <w:r w:rsidR="00135CF0" w:rsidRPr="009E7178">
        <w:t>engaged in control functions</w:t>
      </w:r>
      <w:r w:rsidR="001569C9" w:rsidRPr="009E7178">
        <w:t xml:space="preserve"> of the Company</w:t>
      </w:r>
      <w:r w:rsidRPr="009E7178">
        <w:t>.</w:t>
      </w:r>
      <w:bookmarkEnd w:id="38"/>
    </w:p>
    <w:p w14:paraId="39EB31B2" w14:textId="52353B55" w:rsidR="00077B5A" w:rsidRPr="009E7178" w:rsidRDefault="00B94A70" w:rsidP="00077B5A">
      <w:pPr>
        <w:pStyle w:val="Listlevel2"/>
      </w:pPr>
      <w:r w:rsidRPr="009E7178">
        <w:t xml:space="preserve">When the Company appoints the </w:t>
      </w:r>
      <w:r w:rsidR="00077B5A" w:rsidRPr="009E7178">
        <w:t xml:space="preserve">person referred to in Section </w:t>
      </w:r>
      <w:r w:rsidR="00077B5A" w:rsidRPr="009E7178">
        <w:fldChar w:fldCharType="begin"/>
      </w:r>
      <w:r w:rsidR="00077B5A" w:rsidRPr="009E7178">
        <w:instrText xml:space="preserve"> REF _Ref135326915 \w \h </w:instrText>
      </w:r>
      <w:r w:rsidR="009E7178">
        <w:instrText xml:space="preserve"> \* MERGEFORMAT </w:instrText>
      </w:r>
      <w:r w:rsidR="00077B5A" w:rsidRPr="009E7178">
        <w:fldChar w:fldCharType="separate"/>
      </w:r>
      <w:r w:rsidR="000E7C0F">
        <w:t>8.1(b)</w:t>
      </w:r>
      <w:r w:rsidR="00077B5A" w:rsidRPr="009E7178">
        <w:fldChar w:fldCharType="end"/>
      </w:r>
      <w:r w:rsidR="00077B5A" w:rsidRPr="009E7178">
        <w:t xml:space="preserve"> </w:t>
      </w:r>
      <w:r w:rsidRPr="009E7178">
        <w:t>the Company takes into account such person’s</w:t>
      </w:r>
      <w:r w:rsidR="00077B5A" w:rsidRPr="009E7178">
        <w:t>:</w:t>
      </w:r>
    </w:p>
    <w:p w14:paraId="50E9438F" w14:textId="328C6C38" w:rsidR="00077B5A" w:rsidRPr="009E7178" w:rsidRDefault="001F76B6" w:rsidP="00077B5A">
      <w:pPr>
        <w:pStyle w:val="ListParagraph"/>
        <w:rPr>
          <w:snapToGrid/>
        </w:rPr>
      </w:pPr>
      <w:r w:rsidRPr="009E7178">
        <w:rPr>
          <w:snapToGrid/>
        </w:rPr>
        <w:t xml:space="preserve">experience in </w:t>
      </w:r>
      <w:r w:rsidR="00E52CAA" w:rsidRPr="009E7178">
        <w:rPr>
          <w:snapToGrid/>
        </w:rPr>
        <w:t xml:space="preserve">provision of </w:t>
      </w:r>
      <w:r w:rsidR="00077B5A" w:rsidRPr="009E7178">
        <w:rPr>
          <w:snapToGrid/>
        </w:rPr>
        <w:t>brokerage</w:t>
      </w:r>
      <w:r w:rsidR="00E52CAA" w:rsidRPr="009E7178">
        <w:rPr>
          <w:snapToGrid/>
        </w:rPr>
        <w:t xml:space="preserve"> or</w:t>
      </w:r>
      <w:r w:rsidR="00077B5A" w:rsidRPr="009E7178">
        <w:rPr>
          <w:snapToGrid/>
        </w:rPr>
        <w:t xml:space="preserve"> portfolio management services</w:t>
      </w:r>
      <w:r w:rsidRPr="009E7178">
        <w:rPr>
          <w:snapToGrid/>
        </w:rPr>
        <w:t xml:space="preserve">, </w:t>
      </w:r>
      <w:r w:rsidR="00E52CAA" w:rsidRPr="009E7178">
        <w:rPr>
          <w:snapToGrid/>
        </w:rPr>
        <w:t>particular</w:t>
      </w:r>
      <w:r w:rsidRPr="009E7178">
        <w:rPr>
          <w:snapToGrid/>
        </w:rPr>
        <w:t>ly</w:t>
      </w:r>
      <w:r w:rsidR="00E52CAA" w:rsidRPr="009E7178">
        <w:rPr>
          <w:snapToGrid/>
        </w:rPr>
        <w:t xml:space="preserve"> to retail clients</w:t>
      </w:r>
      <w:r w:rsidR="00077B5A" w:rsidRPr="009E7178">
        <w:rPr>
          <w:snapToGrid/>
        </w:rPr>
        <w:t>;</w:t>
      </w:r>
    </w:p>
    <w:p w14:paraId="038C3972" w14:textId="04D0BF83" w:rsidR="00077B5A" w:rsidRPr="009E7178" w:rsidRDefault="001F76B6" w:rsidP="00077B5A">
      <w:pPr>
        <w:pStyle w:val="ListParagraph"/>
        <w:rPr>
          <w:snapToGrid/>
        </w:rPr>
      </w:pPr>
      <w:r w:rsidRPr="009E7178">
        <w:rPr>
          <w:snapToGrid/>
        </w:rPr>
        <w:t xml:space="preserve">sufficient </w:t>
      </w:r>
      <w:r w:rsidR="00B94A70" w:rsidRPr="009E7178">
        <w:rPr>
          <w:snapToGrid/>
        </w:rPr>
        <w:t xml:space="preserve">proficiency and experience </w:t>
      </w:r>
      <w:r w:rsidR="00F92F9E" w:rsidRPr="009E7178">
        <w:rPr>
          <w:snapToGrid/>
        </w:rPr>
        <w:t xml:space="preserve">in </w:t>
      </w:r>
      <w:r w:rsidR="00E52CAA" w:rsidRPr="009E7178">
        <w:rPr>
          <w:snapToGrid/>
        </w:rPr>
        <w:t>MiFID II requ</w:t>
      </w:r>
      <w:r w:rsidR="00B94A70" w:rsidRPr="009E7178">
        <w:rPr>
          <w:snapToGrid/>
        </w:rPr>
        <w:t xml:space="preserve">irements, particularly </w:t>
      </w:r>
      <w:r w:rsidR="006E41D7" w:rsidRPr="009E7178">
        <w:rPr>
          <w:snapToGrid/>
        </w:rPr>
        <w:t xml:space="preserve">practice of </w:t>
      </w:r>
      <w:r w:rsidR="00112DE9" w:rsidRPr="009E7178">
        <w:rPr>
          <w:snapToGrid/>
        </w:rPr>
        <w:t>dealing</w:t>
      </w:r>
      <w:r w:rsidR="00C56412" w:rsidRPr="009E7178">
        <w:rPr>
          <w:snapToGrid/>
        </w:rPr>
        <w:t xml:space="preserve"> with retail clients</w:t>
      </w:r>
      <w:r w:rsidR="00B94A70" w:rsidRPr="009E7178">
        <w:rPr>
          <w:snapToGrid/>
        </w:rPr>
        <w:t>;</w:t>
      </w:r>
    </w:p>
    <w:p w14:paraId="18298BC9" w14:textId="70521225" w:rsidR="00DD10A9" w:rsidRPr="009E7178" w:rsidRDefault="001F76B6" w:rsidP="00077B5A">
      <w:pPr>
        <w:pStyle w:val="ListParagraph"/>
        <w:rPr>
          <w:snapToGrid/>
        </w:rPr>
      </w:pPr>
      <w:r w:rsidRPr="009E7178">
        <w:rPr>
          <w:snapToGrid/>
        </w:rPr>
        <w:t xml:space="preserve">adequate </w:t>
      </w:r>
      <w:r w:rsidR="00DD10A9" w:rsidRPr="009E7178">
        <w:rPr>
          <w:snapToGrid/>
        </w:rPr>
        <w:t xml:space="preserve">proficiency and experience </w:t>
      </w:r>
      <w:r w:rsidR="00F92F9E" w:rsidRPr="009E7178">
        <w:rPr>
          <w:snapToGrid/>
        </w:rPr>
        <w:t xml:space="preserve">in </w:t>
      </w:r>
      <w:r w:rsidR="00DD10A9" w:rsidRPr="009E7178">
        <w:rPr>
          <w:snapToGrid/>
        </w:rPr>
        <w:t>SFDR requirements, particularly</w:t>
      </w:r>
      <w:r w:rsidR="00F92F9E" w:rsidRPr="009E7178">
        <w:rPr>
          <w:snapToGrid/>
        </w:rPr>
        <w:t xml:space="preserve"> </w:t>
      </w:r>
      <w:r w:rsidR="006E41D7" w:rsidRPr="009E7178">
        <w:rPr>
          <w:snapToGrid/>
        </w:rPr>
        <w:t xml:space="preserve">practice of dealing with clients </w:t>
      </w:r>
      <w:r w:rsidR="00BB4E2B" w:rsidRPr="009E7178">
        <w:rPr>
          <w:snapToGrid/>
        </w:rPr>
        <w:t xml:space="preserve">having </w:t>
      </w:r>
      <w:r w:rsidR="00BB4E2B" w:rsidRPr="009E7178">
        <w:t>sustainability preferences</w:t>
      </w:r>
      <w:r w:rsidR="00DD10A9" w:rsidRPr="009E7178">
        <w:rPr>
          <w:snapToGrid/>
        </w:rPr>
        <w:t>;</w:t>
      </w:r>
    </w:p>
    <w:p w14:paraId="6D631AE9" w14:textId="70E00953" w:rsidR="00B94A70" w:rsidRPr="009E7178" w:rsidRDefault="00B94A70" w:rsidP="00077B5A">
      <w:pPr>
        <w:pStyle w:val="ListParagraph"/>
        <w:rPr>
          <w:snapToGrid/>
        </w:rPr>
      </w:pPr>
      <w:r w:rsidRPr="009E7178">
        <w:rPr>
          <w:snapToGrid/>
        </w:rPr>
        <w:t xml:space="preserve">dealing with PRIIPs, KIDs and other disclosures </w:t>
      </w:r>
      <w:r w:rsidR="00C56412" w:rsidRPr="009E7178">
        <w:rPr>
          <w:snapToGrid/>
        </w:rPr>
        <w:t>of manufacturers or distributors of financial instruments</w:t>
      </w:r>
      <w:r w:rsidR="00DD10A9" w:rsidRPr="009E7178">
        <w:rPr>
          <w:snapToGrid/>
        </w:rPr>
        <w:t>;</w:t>
      </w:r>
    </w:p>
    <w:p w14:paraId="5DD2AB9D" w14:textId="165234EE" w:rsidR="00DD10A9" w:rsidRPr="009E7178" w:rsidRDefault="00465FA6" w:rsidP="00077B5A">
      <w:pPr>
        <w:pStyle w:val="ListParagraph"/>
        <w:rPr>
          <w:snapToGrid/>
        </w:rPr>
      </w:pPr>
      <w:r w:rsidRPr="009E7178">
        <w:rPr>
          <w:snapToGrid/>
        </w:rPr>
        <w:t>knowledge of product governance obligations</w:t>
      </w:r>
      <w:r w:rsidR="0097467D" w:rsidRPr="009E7178">
        <w:rPr>
          <w:snapToGrid/>
        </w:rPr>
        <w:t xml:space="preserve"> of investment firms;</w:t>
      </w:r>
    </w:p>
    <w:p w14:paraId="6AC53F89" w14:textId="0ADB810C" w:rsidR="0097467D" w:rsidRPr="009E7178" w:rsidRDefault="0097467D" w:rsidP="00077B5A">
      <w:pPr>
        <w:pStyle w:val="ListParagraph"/>
        <w:rPr>
          <w:snapToGrid/>
        </w:rPr>
      </w:pPr>
      <w:r w:rsidRPr="009E7178">
        <w:rPr>
          <w:snapToGrid/>
        </w:rPr>
        <w:lastRenderedPageBreak/>
        <w:t xml:space="preserve">other </w:t>
      </w:r>
      <w:r w:rsidR="00AA0838" w:rsidRPr="009E7178">
        <w:rPr>
          <w:snapToGrid/>
        </w:rPr>
        <w:t>characteristics</w:t>
      </w:r>
      <w:r w:rsidRPr="009E7178">
        <w:rPr>
          <w:snapToGrid/>
        </w:rPr>
        <w:t xml:space="preserve"> the Board of Directors deems necessary.</w:t>
      </w:r>
    </w:p>
    <w:p w14:paraId="7F7E28CB" w14:textId="1A89AE9E" w:rsidR="00953A80" w:rsidRPr="009E7178" w:rsidRDefault="00953A80" w:rsidP="00953A80">
      <w:pPr>
        <w:rPr>
          <w:rFonts w:eastAsiaTheme="minorHAnsi" w:cs="Times New Roman"/>
          <w:snapToGrid/>
          <w:szCs w:val="22"/>
        </w:rPr>
      </w:pPr>
      <w:r w:rsidRPr="009E7178">
        <w:rPr>
          <w:rFonts w:eastAsiaTheme="minorHAnsi" w:cs="Times New Roman"/>
          <w:snapToGrid/>
          <w:szCs w:val="22"/>
        </w:rPr>
        <w:t xml:space="preserve">The Board of Directors appoints members of the Committee, including its Chairperson. Term of service of members of the Committee shall be indefinite. The Board of Directors may without a requirement for the advance notice to terminate the appointment of any </w:t>
      </w:r>
      <w:r w:rsidR="005F274F" w:rsidRPr="009E7178">
        <w:rPr>
          <w:rFonts w:eastAsiaTheme="minorHAnsi" w:cs="Times New Roman"/>
          <w:snapToGrid/>
          <w:szCs w:val="22"/>
        </w:rPr>
        <w:t>or all members of the Committee and/or</w:t>
      </w:r>
      <w:r w:rsidRPr="009E7178">
        <w:rPr>
          <w:rFonts w:eastAsiaTheme="minorHAnsi" w:cs="Times New Roman"/>
          <w:snapToGrid/>
          <w:szCs w:val="22"/>
        </w:rPr>
        <w:t xml:space="preserve"> replace its Chairman.</w:t>
      </w:r>
    </w:p>
    <w:p w14:paraId="25EFF5AC" w14:textId="4461DB8C" w:rsidR="00953A80" w:rsidRPr="009E7178" w:rsidRDefault="00953A80" w:rsidP="00953A80">
      <w:pPr>
        <w:rPr>
          <w:rFonts w:eastAsiaTheme="minorHAnsi" w:cs="Times New Roman"/>
          <w:snapToGrid/>
          <w:szCs w:val="22"/>
        </w:rPr>
      </w:pPr>
      <w:r w:rsidRPr="009E7178">
        <w:rPr>
          <w:rFonts w:eastAsiaTheme="minorHAnsi" w:cs="Times New Roman"/>
          <w:snapToGrid/>
          <w:szCs w:val="22"/>
        </w:rPr>
        <w:t xml:space="preserve">Through continuous development and training, the Company shall ensure that members of the committee have a very good understanding of the </w:t>
      </w:r>
      <w:r w:rsidR="0063723A" w:rsidRPr="009E7178">
        <w:rPr>
          <w:rFonts w:eastAsiaTheme="minorHAnsi" w:cs="Times New Roman"/>
          <w:snapToGrid/>
          <w:szCs w:val="22"/>
        </w:rPr>
        <w:t>Company</w:t>
      </w:r>
      <w:r w:rsidRPr="009E7178">
        <w:rPr>
          <w:rFonts w:eastAsiaTheme="minorHAnsi" w:cs="Times New Roman"/>
          <w:snapToGrid/>
          <w:szCs w:val="22"/>
        </w:rPr>
        <w:t xml:space="preserve">’s products so as to enable the </w:t>
      </w:r>
      <w:r w:rsidR="0063723A" w:rsidRPr="009E7178">
        <w:rPr>
          <w:rFonts w:eastAsiaTheme="minorHAnsi" w:cs="Times New Roman"/>
          <w:snapToGrid/>
          <w:szCs w:val="22"/>
        </w:rPr>
        <w:t>Company</w:t>
      </w:r>
      <w:r w:rsidRPr="009E7178">
        <w:rPr>
          <w:rFonts w:eastAsiaTheme="minorHAnsi" w:cs="Times New Roman"/>
          <w:snapToGrid/>
          <w:szCs w:val="22"/>
        </w:rPr>
        <w:t xml:space="preserve"> to take better product governance decisions.</w:t>
      </w:r>
    </w:p>
    <w:p w14:paraId="01B0A021" w14:textId="77777777" w:rsidR="00953A80" w:rsidRPr="009E7178" w:rsidRDefault="00953A80" w:rsidP="00953A80">
      <w:pPr>
        <w:pStyle w:val="Listlevel2"/>
      </w:pPr>
      <w:r w:rsidRPr="009E7178">
        <w:t>The Committee shall be responsible for the following:</w:t>
      </w:r>
    </w:p>
    <w:p w14:paraId="6FFBC0E4" w14:textId="2E324C6C" w:rsidR="00953A80" w:rsidRPr="009E7178" w:rsidRDefault="00953A80" w:rsidP="00953A80">
      <w:pPr>
        <w:pStyle w:val="ListParagraph"/>
      </w:pPr>
      <w:r w:rsidRPr="009E7178">
        <w:t>elaboration, review and proposal to the Board of Directors of amendments as regards</w:t>
      </w:r>
      <w:r w:rsidRPr="009E7178" w:rsidDel="007F6E37">
        <w:t xml:space="preserve"> to</w:t>
      </w:r>
      <w:r w:rsidRPr="009E7178">
        <w:t xml:space="preserve"> product’s characteristics, risk profile, positive and negative target market assessments, costs and charges, distribution strategy and other details of the product;</w:t>
      </w:r>
    </w:p>
    <w:p w14:paraId="2823DFCC" w14:textId="77777777" w:rsidR="00953A80" w:rsidRPr="009E7178" w:rsidRDefault="00953A80" w:rsidP="00953A80">
      <w:pPr>
        <w:pStyle w:val="ListParagraph"/>
      </w:pPr>
      <w:r w:rsidRPr="009E7178">
        <w:t>identification and ongoing review of positive and negative target markets of a product pursuant to its complexity, establishment of knowledge generally expected from a client to deal with the product;</w:t>
      </w:r>
    </w:p>
    <w:p w14:paraId="034D4DFC" w14:textId="3023E1E0" w:rsidR="00953A80" w:rsidRPr="009E7178" w:rsidRDefault="00953A80" w:rsidP="00953A80">
      <w:pPr>
        <w:pStyle w:val="ListParagraph"/>
      </w:pPr>
      <w:r w:rsidRPr="009E7178">
        <w:t>keeping track of material changes which the Manufacturer makes to a product;</w:t>
      </w:r>
    </w:p>
    <w:p w14:paraId="47B56ADA" w14:textId="652E8070" w:rsidR="00953A80" w:rsidRPr="009E7178" w:rsidRDefault="00953A80" w:rsidP="00953A80">
      <w:pPr>
        <w:pStyle w:val="ListParagraph"/>
        <w:rPr>
          <w:u w:val="single"/>
        </w:rPr>
      </w:pPr>
      <w:r w:rsidRPr="009E7178">
        <w:t xml:space="preserve">review of </w:t>
      </w:r>
      <w:r w:rsidRPr="009E7178" w:rsidDel="001951DA">
        <w:t>a suitability and appropriateness test</w:t>
      </w:r>
      <w:r w:rsidR="00F10F56" w:rsidRPr="009E7178">
        <w:t>s</w:t>
      </w:r>
      <w:r w:rsidR="00C45CFC" w:rsidRPr="009E7178">
        <w:t xml:space="preserve"> </w:t>
      </w:r>
      <w:r w:rsidR="00172F1E" w:rsidRPr="009E7178">
        <w:t xml:space="preserve">and </w:t>
      </w:r>
      <w:r w:rsidRPr="009E7178">
        <w:t>the onboarding questionnaire of the Company in the light of changes made to target markets and other principal characteristics of products available to clients of the Company, in order to ensure that the Company will correctly assess whether a potential client falls within the product’s positive target market;</w:t>
      </w:r>
    </w:p>
    <w:p w14:paraId="15D110C8" w14:textId="77777777" w:rsidR="00953A80" w:rsidRPr="009E7178" w:rsidRDefault="00953A80" w:rsidP="00953A80">
      <w:pPr>
        <w:pStyle w:val="ListParagraph"/>
      </w:pPr>
      <w:r w:rsidRPr="009E7178">
        <w:t xml:space="preserve">proposal to the Board of Directors regarding a product’s </w:t>
      </w:r>
      <w:r w:rsidRPr="009E7178" w:rsidDel="007F6E37">
        <w:t xml:space="preserve">of </w:t>
      </w:r>
      <w:r w:rsidRPr="009E7178">
        <w:t>distribution strategy and network of products;</w:t>
      </w:r>
    </w:p>
    <w:p w14:paraId="107D7C23" w14:textId="77777777" w:rsidR="00953A80" w:rsidRPr="009E7178" w:rsidRDefault="00953A80" w:rsidP="00953A80">
      <w:pPr>
        <w:pStyle w:val="ListParagraph"/>
      </w:pPr>
      <w:r w:rsidRPr="009E7178">
        <w:t>evaluation of one-off and ongoing costs for implementation and observance of measures, which the Company shall undertake to implement in accordance with the Policy and their presentation to the Board of Directors;</w:t>
      </w:r>
    </w:p>
    <w:p w14:paraId="390FF606" w14:textId="77777777" w:rsidR="00953A80" w:rsidRPr="009E7178" w:rsidRDefault="00953A80" w:rsidP="00953A80">
      <w:pPr>
        <w:pStyle w:val="ListParagraph"/>
      </w:pPr>
      <w:r w:rsidRPr="009E7178">
        <w:t>collection of statistics on the observance of positive and negative target markets of products and of other data relevant for the evaluation of the Policy’s implementation;</w:t>
      </w:r>
    </w:p>
    <w:p w14:paraId="345E1D92" w14:textId="77777777" w:rsidR="00953A80" w:rsidRPr="009E7178" w:rsidRDefault="00953A80" w:rsidP="00953A80">
      <w:pPr>
        <w:pStyle w:val="ListParagraph"/>
      </w:pPr>
      <w:r w:rsidRPr="009E7178">
        <w:t>reporting to any member of the Board of Directors on any question falling within the ambit of the Committee;</w:t>
      </w:r>
    </w:p>
    <w:p w14:paraId="19A13844" w14:textId="301B7C90" w:rsidR="00953A80" w:rsidRPr="009E7178" w:rsidRDefault="00953A80" w:rsidP="00953A80">
      <w:pPr>
        <w:pStyle w:val="ListParagraph"/>
      </w:pPr>
      <w:r w:rsidRPr="009E7178">
        <w:t>proposal to the Board of Directors of amendments to the Policy</w:t>
      </w:r>
      <w:r w:rsidR="006E17B8" w:rsidRPr="009E7178">
        <w:t>,</w:t>
      </w:r>
      <w:r w:rsidRPr="009E7178">
        <w:t xml:space="preserve"> its </w:t>
      </w:r>
      <w:r w:rsidR="006E17B8" w:rsidRPr="009E7178">
        <w:t>appendixes and annexes</w:t>
      </w:r>
      <w:r w:rsidRPr="009E7178">
        <w:t>.</w:t>
      </w:r>
    </w:p>
    <w:p w14:paraId="58F85474" w14:textId="77777777" w:rsidR="00953A80" w:rsidRPr="009E7178" w:rsidRDefault="00953A80" w:rsidP="00953A80">
      <w:pPr>
        <w:pStyle w:val="Listlevel2"/>
      </w:pPr>
      <w:r w:rsidRPr="009E7178">
        <w:t>The Committee shall put its opinions, suggestions and recommendations before the Board of Directors, unless the Policy authorises the Committee to resolve the underlying matters without recourse to the Board of Directors.</w:t>
      </w:r>
    </w:p>
    <w:p w14:paraId="49CCD87B" w14:textId="77777777" w:rsidR="00953A80" w:rsidRPr="009E7178" w:rsidRDefault="00953A80" w:rsidP="00953A80">
      <w:pPr>
        <w:rPr>
          <w:rFonts w:eastAsiaTheme="minorHAnsi" w:cs="Times New Roman"/>
          <w:snapToGrid/>
          <w:szCs w:val="22"/>
        </w:rPr>
      </w:pPr>
      <w:r w:rsidRPr="009E7178">
        <w:rPr>
          <w:rFonts w:eastAsiaTheme="minorHAnsi" w:cs="Times New Roman"/>
          <w:snapToGrid/>
          <w:szCs w:val="22"/>
        </w:rPr>
        <w:t>Questions falling under Committee’s exclusive jurisdiction may either be resolved by the Committee or put before the Board of Directors for its perusal and resolution.</w:t>
      </w:r>
    </w:p>
    <w:p w14:paraId="5299C791" w14:textId="74DBC270" w:rsidR="00953A80" w:rsidRPr="009E7178" w:rsidRDefault="00953A80" w:rsidP="00953A80">
      <w:pPr>
        <w:pStyle w:val="Listlevel2"/>
      </w:pPr>
      <w:r w:rsidRPr="009E7178">
        <w:t>The Committee shall review and evaluate the adequacy of target markets assessments, products description forms, and other processes relevant to product governance in the Company as per the present Policy. Such review shall be done on an ongoing basis and shall also be done in case of material changes of characteristics of a product, legislation framework surrounding it, market environment and other events which the Committee or the Board of Directors deems as necessitating this review.</w:t>
      </w:r>
    </w:p>
    <w:p w14:paraId="7089DA31" w14:textId="77777777" w:rsidR="00953A80" w:rsidRPr="009E7178" w:rsidRDefault="00953A80" w:rsidP="00953A80">
      <w:pPr>
        <w:rPr>
          <w:rFonts w:eastAsiaTheme="minorHAnsi" w:cs="Times New Roman"/>
          <w:snapToGrid/>
          <w:szCs w:val="22"/>
        </w:rPr>
      </w:pPr>
      <w:r w:rsidRPr="009E7178">
        <w:rPr>
          <w:rFonts w:eastAsiaTheme="minorHAnsi" w:cs="Times New Roman"/>
          <w:snapToGrid/>
          <w:szCs w:val="22"/>
        </w:rPr>
        <w:t>Results of the review shall be documented as minutes of a meeting of the Committee or as changes made or suggested to documents, practices or procedures of the Company.</w:t>
      </w:r>
    </w:p>
    <w:p w14:paraId="14B5BA80" w14:textId="75C25401" w:rsidR="00AF757A" w:rsidRPr="009E7178" w:rsidRDefault="00AF757A" w:rsidP="00953A80">
      <w:pPr>
        <w:pStyle w:val="Heading1"/>
        <w:numPr>
          <w:ilvl w:val="0"/>
          <w:numId w:val="4"/>
        </w:numPr>
        <w:contextualSpacing w:val="0"/>
      </w:pPr>
      <w:bookmarkStart w:id="39" w:name="_Toc137207291"/>
      <w:r w:rsidRPr="009E7178">
        <w:lastRenderedPageBreak/>
        <w:t xml:space="preserve">Assessment of </w:t>
      </w:r>
      <w:r w:rsidR="00525E21" w:rsidRPr="009E7178">
        <w:t>target market – procedures</w:t>
      </w:r>
      <w:bookmarkEnd w:id="39"/>
      <w:r w:rsidR="00525E21" w:rsidRPr="009E7178">
        <w:t xml:space="preserve"> </w:t>
      </w:r>
    </w:p>
    <w:p w14:paraId="4730DE6A" w14:textId="5F320737" w:rsidR="00953A80" w:rsidRPr="009E7178" w:rsidRDefault="00953A80" w:rsidP="00953A80">
      <w:pPr>
        <w:pStyle w:val="Listlevel2"/>
      </w:pPr>
      <w:r w:rsidRPr="009E7178">
        <w:t xml:space="preserve">The </w:t>
      </w:r>
      <w:r w:rsidRPr="009E7178">
        <w:rPr>
          <w:kern w:val="2"/>
        </w:rPr>
        <w:t>Company</w:t>
      </w:r>
      <w:r w:rsidRPr="009E7178">
        <w:t xml:space="preserve"> as the Distributor, must obtain information from the clients regarding their </w:t>
      </w:r>
      <w:r w:rsidR="006E17B8" w:rsidRPr="009E7178">
        <w:t>investment objectives</w:t>
      </w:r>
      <w:r w:rsidRPr="009E7178">
        <w:t xml:space="preserve">, in making sure that the product meets client’s </w:t>
      </w:r>
      <w:r w:rsidR="006E17B8" w:rsidRPr="009E7178">
        <w:t>goals</w:t>
      </w:r>
      <w:r w:rsidRPr="009E7178">
        <w:t xml:space="preserve">, risk tolerance, financial status, and sustainability preferences </w:t>
      </w:r>
      <w:r w:rsidR="006E17B8" w:rsidRPr="009E7178">
        <w:t>(defined in Section </w:t>
      </w:r>
      <w:r w:rsidR="006E17B8" w:rsidRPr="009E7178">
        <w:fldChar w:fldCharType="begin"/>
      </w:r>
      <w:r w:rsidR="006E17B8" w:rsidRPr="009E7178">
        <w:instrText xml:space="preserve"> REF _Ref130824800 \r \h </w:instrText>
      </w:r>
      <w:r w:rsidR="009E7178">
        <w:instrText xml:space="preserve"> \* MERGEFORMAT </w:instrText>
      </w:r>
      <w:r w:rsidR="006E17B8" w:rsidRPr="009E7178">
        <w:fldChar w:fldCharType="separate"/>
      </w:r>
      <w:r w:rsidR="000E7C0F">
        <w:t>1.1</w:t>
      </w:r>
      <w:r w:rsidR="006E17B8" w:rsidRPr="009E7178">
        <w:fldChar w:fldCharType="end"/>
      </w:r>
      <w:r w:rsidR="006E17B8" w:rsidRPr="009E7178">
        <w:t xml:space="preserve">), </w:t>
      </w:r>
      <w:r w:rsidRPr="009E7178">
        <w:t>including the option that the client</w:t>
      </w:r>
      <w:r w:rsidR="00E51F12" w:rsidRPr="009E7178">
        <w:t xml:space="preserve">s </w:t>
      </w:r>
      <w:r w:rsidR="007349E9" w:rsidRPr="009E7178">
        <w:t xml:space="preserve">may </w:t>
      </w:r>
      <w:r w:rsidRPr="009E7178">
        <w:t>not have sustainabili</w:t>
      </w:r>
      <w:r w:rsidR="00E51F12" w:rsidRPr="009E7178">
        <w:t>ty preferences</w:t>
      </w:r>
      <w:r w:rsidRPr="009E7178">
        <w:t>.</w:t>
      </w:r>
    </w:p>
    <w:p w14:paraId="42A3E8C7" w14:textId="261DA4CB" w:rsidR="00CB56AA" w:rsidRPr="009E7178" w:rsidRDefault="00AF757A" w:rsidP="00953A80">
      <w:pPr>
        <w:pStyle w:val="Listlevel2"/>
      </w:pPr>
      <w:r w:rsidRPr="009E7178">
        <w:t xml:space="preserve">The Company shall ensure that </w:t>
      </w:r>
      <w:r w:rsidR="006B1700" w:rsidRPr="009E7178">
        <w:t>employees of</w:t>
      </w:r>
      <w:r w:rsidRPr="009E7178">
        <w:t xml:space="preserve"> </w:t>
      </w:r>
      <w:r w:rsidR="006B1700" w:rsidRPr="009E7178">
        <w:t xml:space="preserve">the </w:t>
      </w:r>
      <w:r w:rsidR="00E51F12" w:rsidRPr="009E7178">
        <w:t>Front Office</w:t>
      </w:r>
      <w:r w:rsidRPr="009E7178">
        <w:t xml:space="preserve"> collect appropriate information from potential clients</w:t>
      </w:r>
      <w:r w:rsidR="00CB56AA" w:rsidRPr="009E7178">
        <w:t>:</w:t>
      </w:r>
    </w:p>
    <w:p w14:paraId="05ADAD35" w14:textId="4B99D031" w:rsidR="00D9715E" w:rsidRPr="009E7178" w:rsidRDefault="00AF757A" w:rsidP="00CB56AA">
      <w:pPr>
        <w:pStyle w:val="Listlevel3"/>
      </w:pPr>
      <w:r w:rsidRPr="009E7178">
        <w:t>through the onboarding questionnaire in order to assess whether the potential client falls within a product’s positive target market</w:t>
      </w:r>
      <w:r w:rsidR="00CB56AA" w:rsidRPr="009E7178">
        <w:t>;</w:t>
      </w:r>
    </w:p>
    <w:p w14:paraId="725E4D99" w14:textId="249C3737" w:rsidR="00CB56AA" w:rsidRPr="009E7178" w:rsidRDefault="00CB56AA" w:rsidP="00F336F0">
      <w:pPr>
        <w:pStyle w:val="Listlevel3"/>
      </w:pPr>
      <w:bookmarkStart w:id="40" w:name="_Ref131608089"/>
      <w:r w:rsidRPr="009E7178">
        <w:t>on their sustainability preferences (if any)</w:t>
      </w:r>
      <w:r w:rsidR="00F336F0" w:rsidRPr="009E7178">
        <w:t xml:space="preserve"> in order to identify products meeting these preferences and other client’s objectives (investment objectives, risk appetite, etc.)</w:t>
      </w:r>
      <w:r w:rsidRPr="009E7178">
        <w:t>.</w:t>
      </w:r>
      <w:bookmarkEnd w:id="40"/>
    </w:p>
    <w:p w14:paraId="1AC07301" w14:textId="715F7947" w:rsidR="00AF757A" w:rsidRPr="009E7178" w:rsidRDefault="00AF757A" w:rsidP="00D9715E">
      <w:pPr>
        <w:pStyle w:val="Listlevel2withoutnumber"/>
      </w:pPr>
      <w:r w:rsidRPr="009E7178">
        <w:t>As a general practice the clients apply to the Company</w:t>
      </w:r>
      <w:r w:rsidR="007E1F1C" w:rsidRPr="009E7178">
        <w:t xml:space="preserve"> </w:t>
      </w:r>
      <w:r w:rsidRPr="009E7178">
        <w:t>at their own volition without interference of the Company (reverse solicitation).</w:t>
      </w:r>
      <w:r w:rsidR="00D9715E" w:rsidRPr="009E7178">
        <w:t xml:space="preserve"> </w:t>
      </w:r>
      <w:r w:rsidR="00082FCC" w:rsidRPr="009E7178">
        <w:t>The</w:t>
      </w:r>
      <w:r w:rsidR="00D9715E" w:rsidRPr="009E7178">
        <w:t xml:space="preserve"> clients themselves may add their investment objectives, requirements and sustainability preferences at the time of application or any time later. The Company takes these particulars into account to the exten</w:t>
      </w:r>
      <w:r w:rsidR="00082FCC" w:rsidRPr="009E7178">
        <w:t>t</w:t>
      </w:r>
      <w:r w:rsidR="00D9715E" w:rsidRPr="009E7178">
        <w:t xml:space="preserve"> allowed with clients’ category, e.g. complex instruments will not be available to willing retail clients.</w:t>
      </w:r>
    </w:p>
    <w:p w14:paraId="6408B12C" w14:textId="76BC94F2" w:rsidR="00AF757A" w:rsidRPr="009E7178" w:rsidRDefault="00AF757A" w:rsidP="00953A80">
      <w:pPr>
        <w:pStyle w:val="Listlevel2"/>
      </w:pPr>
      <w:r w:rsidRPr="009E7178">
        <w:t xml:space="preserve">To assess whether a potential client falls within </w:t>
      </w:r>
      <w:r w:rsidR="007349E9" w:rsidRPr="009E7178">
        <w:t>the</w:t>
      </w:r>
      <w:r w:rsidRPr="009E7178">
        <w:t xml:space="preserve"> target market </w:t>
      </w:r>
      <w:r w:rsidR="00004DC8" w:rsidRPr="009E7178">
        <w:t xml:space="preserve">of a product </w:t>
      </w:r>
      <w:r w:rsidRPr="009E7178">
        <w:t>the Company applies the following checks:</w:t>
      </w:r>
    </w:p>
    <w:p w14:paraId="3C81CD96" w14:textId="3BAB075E" w:rsidR="00AF757A" w:rsidRPr="009E7178" w:rsidRDefault="00AF757A" w:rsidP="006940EA">
      <w:pPr>
        <w:pStyle w:val="ListParagraph"/>
      </w:pPr>
      <w:r w:rsidRPr="009E7178">
        <w:t>a potential client fills in the first section of the onboarding questionnaire, which includes questions regarding the client’s market experience and investment knowledge, risk tolerance, investment goals, financial situation, etc.; (i.e. target market assessment)</w:t>
      </w:r>
      <w:r w:rsidR="00E16805" w:rsidRPr="009E7178">
        <w:t>;</w:t>
      </w:r>
    </w:p>
    <w:p w14:paraId="5AB8BCD8" w14:textId="49C0CF64" w:rsidR="00AF757A" w:rsidRPr="009E7178" w:rsidRDefault="00AF757A" w:rsidP="006940EA">
      <w:pPr>
        <w:pStyle w:val="ListParagraph"/>
      </w:pPr>
      <w:r w:rsidRPr="009E7178">
        <w:t xml:space="preserve">a client who does not fall within the product’s positive target market, based on the answers provided in the questionnaire, will </w:t>
      </w:r>
      <w:r w:rsidR="00777ED0" w:rsidRPr="009E7178">
        <w:t xml:space="preserve">not be able to transact with the product. The </w:t>
      </w:r>
      <w:r w:rsidRPr="009E7178">
        <w:t>Company</w:t>
      </w:r>
      <w:r w:rsidR="00777ED0" w:rsidRPr="009E7178">
        <w:t xml:space="preserve"> may reject a </w:t>
      </w:r>
      <w:r w:rsidR="00CD265E" w:rsidRPr="009E7178">
        <w:t>client’s</w:t>
      </w:r>
      <w:r w:rsidR="00707ACC" w:rsidRPr="009E7178">
        <w:t xml:space="preserve"> anticipated</w:t>
      </w:r>
      <w:r w:rsidR="00CD265E" w:rsidRPr="009E7178">
        <w:t xml:space="preserve"> </w:t>
      </w:r>
      <w:r w:rsidR="00777ED0" w:rsidRPr="009E7178">
        <w:t>transaction</w:t>
      </w:r>
      <w:r w:rsidR="00707ACC" w:rsidRPr="009E7178">
        <w:t xml:space="preserve"> in a particular financial product</w:t>
      </w:r>
      <w:r w:rsidR="00777ED0" w:rsidRPr="009E7178">
        <w:t xml:space="preserve"> if a client</w:t>
      </w:r>
      <w:r w:rsidR="00F82A28" w:rsidRPr="009E7178">
        <w:t xml:space="preserve"> falls</w:t>
      </w:r>
      <w:r w:rsidR="00777ED0" w:rsidRPr="009E7178">
        <w:t xml:space="preserve"> outside </w:t>
      </w:r>
      <w:r w:rsidR="007349E9" w:rsidRPr="009E7178">
        <w:t xml:space="preserve">the products </w:t>
      </w:r>
      <w:r w:rsidR="00777ED0" w:rsidRPr="009E7178">
        <w:t>target market</w:t>
      </w:r>
      <w:r w:rsidR="00E16805" w:rsidRPr="009E7178">
        <w:t>;</w:t>
      </w:r>
    </w:p>
    <w:p w14:paraId="176D85AB" w14:textId="2BDA68CE" w:rsidR="00AF757A" w:rsidRPr="009E7178" w:rsidRDefault="00E16805" w:rsidP="006940EA">
      <w:pPr>
        <w:pStyle w:val="ListParagraph"/>
      </w:pPr>
      <w:r w:rsidRPr="009E7178">
        <w:t xml:space="preserve">if </w:t>
      </w:r>
      <w:r w:rsidR="00AF757A" w:rsidRPr="009E7178">
        <w:t>the client falls within the product’s target market, the Company shall then run an appropriateness test (all potential clients must do appropriateness test before onboarding decision is made) and a suitability test (this test applies to portfolio management clients only) of a potential client to decide, whether the Company is in position to offer investment services to the client, a category the client falls in, conditions and extent of provision of investment services to the client. The Company employs a scoring system to assist in this process</w:t>
      </w:r>
      <w:r w:rsidR="00722955" w:rsidRPr="009E7178">
        <w:t xml:space="preserve">. A </w:t>
      </w:r>
      <w:r w:rsidR="00AF757A" w:rsidRPr="009E7178">
        <w:t>potential client is being interviewed personally by a member of senior management</w:t>
      </w:r>
      <w:r w:rsidR="00722955" w:rsidRPr="009E7178">
        <w:t xml:space="preserve"> or </w:t>
      </w:r>
      <w:r w:rsidR="00AF757A" w:rsidRPr="009E7178">
        <w:t xml:space="preserve">the </w:t>
      </w:r>
      <w:r w:rsidR="00722955" w:rsidRPr="009E7178">
        <w:t xml:space="preserve">Front Office </w:t>
      </w:r>
      <w:r w:rsidR="00AF757A" w:rsidRPr="009E7178">
        <w:t>of the Company;</w:t>
      </w:r>
    </w:p>
    <w:p w14:paraId="5FADB9BA" w14:textId="74F37416" w:rsidR="00AF757A" w:rsidRPr="009E7178" w:rsidRDefault="00AF757A" w:rsidP="00E85E8F">
      <w:pPr>
        <w:pStyle w:val="ListParagraph"/>
      </w:pPr>
      <w:r w:rsidRPr="009E7178">
        <w:t xml:space="preserve">other checks required by the </w:t>
      </w:r>
      <w:r w:rsidR="00E85E8F" w:rsidRPr="009E7178">
        <w:t>Client Acceptance and Monitoring Policy and Procedures</w:t>
      </w:r>
      <w:r w:rsidR="00E85E8F" w:rsidRPr="009E7178" w:rsidDel="00E85E8F">
        <w:t xml:space="preserve"> </w:t>
      </w:r>
      <w:r w:rsidRPr="009E7178">
        <w:t>of the Company.</w:t>
      </w:r>
    </w:p>
    <w:p w14:paraId="5856DC62" w14:textId="4AFDE7B4" w:rsidR="005673A1" w:rsidRPr="009E7178" w:rsidRDefault="00AF757A" w:rsidP="00953A80">
      <w:pPr>
        <w:pStyle w:val="Listlevel2"/>
      </w:pPr>
      <w:bookmarkStart w:id="41" w:name="_Ref135329181"/>
      <w:r w:rsidRPr="009E7178">
        <w:t xml:space="preserve">If following these steps the Company resolves to onboard a potential client they sign a depositary agreement, an </w:t>
      </w:r>
      <w:r w:rsidR="00E16805" w:rsidRPr="009E7178">
        <w:t xml:space="preserve">agreement for the provision of </w:t>
      </w:r>
      <w:r w:rsidRPr="009E7178">
        <w:t>investment</w:t>
      </w:r>
      <w:r w:rsidR="00E16805" w:rsidRPr="009E7178">
        <w:t xml:space="preserve"> and ancillary </w:t>
      </w:r>
      <w:r w:rsidRPr="009E7178">
        <w:t xml:space="preserve">services agreement or a portfolio management agreement together with other documents set out in the </w:t>
      </w:r>
      <w:r w:rsidR="00E85E8F" w:rsidRPr="009E7178">
        <w:t>Client Acceptance and Monitoring Policy and Procedures</w:t>
      </w:r>
      <w:r w:rsidR="00E85E8F" w:rsidRPr="009E7178" w:rsidDel="00E85E8F">
        <w:t xml:space="preserve"> </w:t>
      </w:r>
      <w:r w:rsidR="00E85E8F" w:rsidRPr="009E7178">
        <w:t>of the Company</w:t>
      </w:r>
      <w:r w:rsidRPr="009E7178">
        <w:t>.</w:t>
      </w:r>
      <w:r w:rsidR="000E7137" w:rsidRPr="009E7178">
        <w:t xml:space="preserve"> That Policy describes how an employee of the Front Office conducts client categorisation. </w:t>
      </w:r>
      <w:r w:rsidRPr="009E7178">
        <w:t xml:space="preserve">These documents mark an end of assessment of a particular client </w:t>
      </w:r>
      <w:r w:rsidR="00320BC9" w:rsidRPr="009E7178">
        <w:t xml:space="preserve">as </w:t>
      </w:r>
      <w:r w:rsidRPr="009E7178">
        <w:t>fall</w:t>
      </w:r>
      <w:r w:rsidR="00320BC9" w:rsidRPr="009E7178">
        <w:t>ing</w:t>
      </w:r>
      <w:r w:rsidRPr="009E7178">
        <w:t xml:space="preserve"> within </w:t>
      </w:r>
      <w:r w:rsidR="00320BC9" w:rsidRPr="009E7178">
        <w:t>a particular category of clients set out by the MiFID II</w:t>
      </w:r>
      <w:r w:rsidR="00324A1D" w:rsidRPr="009E7178">
        <w:t>,</w:t>
      </w:r>
      <w:r w:rsidR="00722955" w:rsidRPr="009E7178">
        <w:t xml:space="preserve"> </w:t>
      </w:r>
      <w:r w:rsidR="00324A1D" w:rsidRPr="009E7178">
        <w:t>scope of</w:t>
      </w:r>
      <w:r w:rsidR="00770DAF" w:rsidRPr="009E7178">
        <w:t xml:space="preserve"> product</w:t>
      </w:r>
      <w:r w:rsidR="00324A1D" w:rsidRPr="009E7178">
        <w:t xml:space="preserve">s with appropriate </w:t>
      </w:r>
      <w:r w:rsidRPr="009E7178">
        <w:t>target market</w:t>
      </w:r>
      <w:r w:rsidR="00324A1D" w:rsidRPr="009E7178">
        <w:t xml:space="preserve"> and sustainability </w:t>
      </w:r>
      <w:r w:rsidR="00324A1D" w:rsidRPr="009E7178">
        <w:rPr>
          <w:bCs/>
        </w:rPr>
        <w:t>factors</w:t>
      </w:r>
      <w:r w:rsidRPr="009E7178">
        <w:t>.</w:t>
      </w:r>
      <w:bookmarkEnd w:id="41"/>
    </w:p>
    <w:p w14:paraId="4F825702" w14:textId="1D4BB2EE" w:rsidR="003131DB" w:rsidRPr="009E7178" w:rsidRDefault="003131DB" w:rsidP="00953A80">
      <w:pPr>
        <w:pStyle w:val="Listlevel2"/>
      </w:pPr>
      <w:r w:rsidRPr="009E7178">
        <w:lastRenderedPageBreak/>
        <w:t xml:space="preserve">An employee of the </w:t>
      </w:r>
      <w:r w:rsidR="00E51F12" w:rsidRPr="009E7178">
        <w:t>Front Office</w:t>
      </w:r>
      <w:r w:rsidRPr="009E7178">
        <w:t xml:space="preserve"> conducts </w:t>
      </w:r>
      <w:r w:rsidR="002063F5" w:rsidRPr="009E7178">
        <w:t>the target market</w:t>
      </w:r>
      <w:r w:rsidRPr="009E7178">
        <w:t xml:space="preserve"> assessment</w:t>
      </w:r>
      <w:r w:rsidR="002063F5" w:rsidRPr="009E7178">
        <w:t xml:space="preserve"> and</w:t>
      </w:r>
      <w:r w:rsidR="00780CE7" w:rsidRPr="009E7178">
        <w:t xml:space="preserve"> marks client’s category within the Company’s database</w:t>
      </w:r>
      <w:r w:rsidR="005673A1" w:rsidRPr="009E7178">
        <w:t xml:space="preserve"> in accordance with the documents</w:t>
      </w:r>
      <w:r w:rsidR="00D175A7" w:rsidRPr="009E7178">
        <w:t xml:space="preserve"> set out in Section </w:t>
      </w:r>
      <w:r w:rsidR="00D175A7" w:rsidRPr="009E7178">
        <w:fldChar w:fldCharType="begin"/>
      </w:r>
      <w:r w:rsidR="00D175A7" w:rsidRPr="009E7178">
        <w:instrText xml:space="preserve"> REF _Ref135329181 \w \h </w:instrText>
      </w:r>
      <w:r w:rsidR="009E7178">
        <w:instrText xml:space="preserve"> \* MERGEFORMAT </w:instrText>
      </w:r>
      <w:r w:rsidR="00D175A7" w:rsidRPr="009E7178">
        <w:fldChar w:fldCharType="separate"/>
      </w:r>
      <w:r w:rsidR="000E7C0F">
        <w:t>9.4</w:t>
      </w:r>
      <w:r w:rsidR="00D175A7" w:rsidRPr="009E7178">
        <w:fldChar w:fldCharType="end"/>
      </w:r>
      <w:r w:rsidRPr="009E7178">
        <w:t>.</w:t>
      </w:r>
      <w:r w:rsidR="00177581" w:rsidRPr="009E7178">
        <w:t xml:space="preserve"> </w:t>
      </w:r>
      <w:r w:rsidR="00430801" w:rsidRPr="009E7178">
        <w:t xml:space="preserve">The </w:t>
      </w:r>
      <w:r w:rsidR="002063F5" w:rsidRPr="009E7178">
        <w:t>Company then notifies the client about his/her MiFID</w:t>
      </w:r>
      <w:r w:rsidR="008B1A1E" w:rsidRPr="009E7178">
        <w:t> II</w:t>
      </w:r>
      <w:r w:rsidR="002063F5" w:rsidRPr="009E7178">
        <w:t xml:space="preserve"> </w:t>
      </w:r>
      <w:r w:rsidR="008B1A1E" w:rsidRPr="009E7178">
        <w:t xml:space="preserve">categorisation </w:t>
      </w:r>
      <w:r w:rsidR="002063F5" w:rsidRPr="009E7178">
        <w:t>and follows the procedure described in its Client Categorisation Policy</w:t>
      </w:r>
      <w:r w:rsidR="003C413F" w:rsidRPr="009E7178">
        <w:t xml:space="preserve"> and Procedure</w:t>
      </w:r>
      <w:r w:rsidR="00AB3AEC" w:rsidRPr="009E7178">
        <w:t>.</w:t>
      </w:r>
    </w:p>
    <w:p w14:paraId="26BAEEC9" w14:textId="5E77C0FC" w:rsidR="00AF757A" w:rsidRPr="009E7178" w:rsidRDefault="00320BC9" w:rsidP="00953A80">
      <w:pPr>
        <w:pStyle w:val="Listlevel2"/>
      </w:pPr>
      <w:r w:rsidRPr="009E7178">
        <w:t xml:space="preserve">Subject to </w:t>
      </w:r>
      <w:r w:rsidR="00EB444C" w:rsidRPr="009E7178">
        <w:t xml:space="preserve">adjustments in accordance with </w:t>
      </w:r>
      <w:r w:rsidRPr="009E7178">
        <w:t>Section </w:t>
      </w:r>
      <w:r w:rsidRPr="009E7178">
        <w:fldChar w:fldCharType="begin"/>
      </w:r>
      <w:r w:rsidRPr="009E7178">
        <w:instrText xml:space="preserve"> REF _Ref114670481 \w \h </w:instrText>
      </w:r>
      <w:r w:rsidR="00343369" w:rsidRPr="009E7178">
        <w:instrText xml:space="preserve"> \* MERGEFORMAT </w:instrText>
      </w:r>
      <w:r w:rsidRPr="009E7178">
        <w:fldChar w:fldCharType="separate"/>
      </w:r>
      <w:r w:rsidR="000E7C0F">
        <w:t>6.4</w:t>
      </w:r>
      <w:r w:rsidRPr="009E7178">
        <w:fldChar w:fldCharType="end"/>
      </w:r>
      <w:r w:rsidRPr="009E7178">
        <w:t xml:space="preserve">, target </w:t>
      </w:r>
      <w:r w:rsidR="00687B98" w:rsidRPr="009E7178">
        <w:t xml:space="preserve">market of a client </w:t>
      </w:r>
      <w:r w:rsidR="00AB3AEC" w:rsidRPr="009E7178">
        <w:t xml:space="preserve">follows </w:t>
      </w:r>
      <w:r w:rsidR="00687B98" w:rsidRPr="009E7178">
        <w:t>client</w:t>
      </w:r>
      <w:r w:rsidR="00FD2985" w:rsidRPr="009E7178">
        <w:t>’s</w:t>
      </w:r>
      <w:r w:rsidR="00687B98" w:rsidRPr="009E7178">
        <w:t xml:space="preserve"> </w:t>
      </w:r>
      <w:r w:rsidRPr="009E7178">
        <w:t xml:space="preserve">category </w:t>
      </w:r>
      <w:r w:rsidR="00813322" w:rsidRPr="009E7178">
        <w:t xml:space="preserve">in accordance with </w:t>
      </w:r>
      <w:r w:rsidRPr="009E7178">
        <w:t xml:space="preserve">the </w:t>
      </w:r>
      <w:r w:rsidR="00813322" w:rsidRPr="009E7178">
        <w:t xml:space="preserve">MiFID II </w:t>
      </w:r>
      <w:r w:rsidR="00687B98" w:rsidRPr="009E7178">
        <w:t>and parameters of a financial instrument.</w:t>
      </w:r>
      <w:r w:rsidR="00AF757A" w:rsidRPr="009E7178">
        <w:t xml:space="preserve"> This assessment of the client may be reviewed in case of change of client category (retail, professional, eligible counterparty) or in case the client’s and/or </w:t>
      </w:r>
      <w:r w:rsidR="00AB3AEC" w:rsidRPr="009E7178">
        <w:t>financial instrument’s</w:t>
      </w:r>
      <w:r w:rsidR="00AB3AEC" w:rsidRPr="009E7178" w:rsidDel="00AB3AEC">
        <w:t xml:space="preserve"> </w:t>
      </w:r>
      <w:r w:rsidR="00AF757A" w:rsidRPr="009E7178">
        <w:t>characteristics change.</w:t>
      </w:r>
    </w:p>
    <w:p w14:paraId="6C67632B" w14:textId="7C1C2827" w:rsidR="00AF757A" w:rsidRPr="009E7178" w:rsidRDefault="00AF757A" w:rsidP="00A93E1B">
      <w:pPr>
        <w:rPr>
          <w:rFonts w:eastAsiaTheme="minorHAnsi" w:cs="Times New Roman"/>
          <w:snapToGrid/>
          <w:szCs w:val="22"/>
        </w:rPr>
      </w:pPr>
      <w:r w:rsidRPr="009E7178">
        <w:rPr>
          <w:rFonts w:eastAsiaTheme="minorHAnsi" w:cs="Times New Roman"/>
          <w:snapToGrid/>
          <w:szCs w:val="22"/>
        </w:rPr>
        <w:t xml:space="preserve">Information to be collected includes information, embodied in </w:t>
      </w:r>
      <w:r w:rsidR="00D61F57" w:rsidRPr="009E7178">
        <w:rPr>
          <w:rFonts w:eastAsiaTheme="minorHAnsi" w:cs="Times New Roman"/>
          <w:snapToGrid/>
          <w:szCs w:val="22"/>
        </w:rPr>
        <w:t>Section</w:t>
      </w:r>
      <w:r w:rsidR="00366B4B" w:rsidRPr="009E7178">
        <w:rPr>
          <w:rFonts w:eastAsiaTheme="minorHAnsi" w:cs="Times New Roman"/>
          <w:snapToGrid/>
          <w:szCs w:val="22"/>
        </w:rPr>
        <w:t>s</w:t>
      </w:r>
      <w:r w:rsidR="00D61F57" w:rsidRPr="009E7178">
        <w:rPr>
          <w:rFonts w:eastAsiaTheme="minorHAnsi" w:cs="Times New Roman"/>
          <w:snapToGrid/>
          <w:szCs w:val="22"/>
        </w:rPr>
        <w:t> </w:t>
      </w:r>
      <w:r w:rsidR="00D61F57" w:rsidRPr="009E7178">
        <w:rPr>
          <w:rFonts w:eastAsiaTheme="minorHAnsi" w:cs="Times New Roman"/>
          <w:snapToGrid/>
          <w:szCs w:val="22"/>
        </w:rPr>
        <w:fldChar w:fldCharType="begin"/>
      </w:r>
      <w:r w:rsidR="00D61F57" w:rsidRPr="009E7178">
        <w:rPr>
          <w:rFonts w:eastAsiaTheme="minorHAnsi" w:cs="Times New Roman"/>
          <w:snapToGrid/>
          <w:szCs w:val="22"/>
        </w:rPr>
        <w:instrText xml:space="preserve"> REF _Ref114670036 \w \h </w:instrText>
      </w:r>
      <w:r w:rsidR="00343369" w:rsidRPr="009E7178">
        <w:rPr>
          <w:rFonts w:eastAsiaTheme="minorHAnsi" w:cs="Times New Roman"/>
          <w:snapToGrid/>
          <w:szCs w:val="22"/>
        </w:rPr>
        <w:instrText xml:space="preserve"> \* MERGEFORMAT </w:instrText>
      </w:r>
      <w:r w:rsidR="00D61F57" w:rsidRPr="009E7178">
        <w:rPr>
          <w:rFonts w:eastAsiaTheme="minorHAnsi" w:cs="Times New Roman"/>
          <w:snapToGrid/>
          <w:szCs w:val="22"/>
        </w:rPr>
      </w:r>
      <w:r w:rsidR="00D61F57" w:rsidRPr="009E7178">
        <w:rPr>
          <w:rFonts w:eastAsiaTheme="minorHAnsi" w:cs="Times New Roman"/>
          <w:snapToGrid/>
          <w:szCs w:val="22"/>
        </w:rPr>
        <w:fldChar w:fldCharType="separate"/>
      </w:r>
      <w:r w:rsidR="000E7C0F">
        <w:rPr>
          <w:rFonts w:eastAsiaTheme="minorHAnsi" w:cs="Times New Roman"/>
          <w:snapToGrid/>
          <w:szCs w:val="22"/>
        </w:rPr>
        <w:t>7.5</w:t>
      </w:r>
      <w:r w:rsidR="00D61F57" w:rsidRPr="009E7178">
        <w:rPr>
          <w:rFonts w:eastAsiaTheme="minorHAnsi" w:cs="Times New Roman"/>
          <w:snapToGrid/>
          <w:szCs w:val="22"/>
        </w:rPr>
        <w:fldChar w:fldCharType="end"/>
      </w:r>
      <w:r w:rsidR="00366B4B" w:rsidRPr="009E7178">
        <w:rPr>
          <w:rFonts w:eastAsiaTheme="minorHAnsi" w:cs="Times New Roman"/>
          <w:snapToGrid/>
          <w:szCs w:val="22"/>
        </w:rPr>
        <w:t>–</w:t>
      </w:r>
      <w:r w:rsidR="00366B4B" w:rsidRPr="009E7178">
        <w:rPr>
          <w:rFonts w:eastAsiaTheme="minorHAnsi" w:cs="Times New Roman"/>
          <w:snapToGrid/>
          <w:szCs w:val="22"/>
        </w:rPr>
        <w:fldChar w:fldCharType="begin"/>
      </w:r>
      <w:r w:rsidR="00366B4B" w:rsidRPr="009E7178">
        <w:rPr>
          <w:rFonts w:eastAsiaTheme="minorHAnsi" w:cs="Times New Roman"/>
          <w:snapToGrid/>
          <w:szCs w:val="22"/>
        </w:rPr>
        <w:instrText xml:space="preserve"> REF _Ref131095823 \r \h </w:instrText>
      </w:r>
      <w:r w:rsidR="009E7178">
        <w:rPr>
          <w:rFonts w:eastAsiaTheme="minorHAnsi" w:cs="Times New Roman"/>
          <w:snapToGrid/>
          <w:szCs w:val="22"/>
        </w:rPr>
        <w:instrText xml:space="preserve"> \* MERGEFORMAT </w:instrText>
      </w:r>
      <w:r w:rsidR="00366B4B" w:rsidRPr="009E7178">
        <w:rPr>
          <w:rFonts w:eastAsiaTheme="minorHAnsi" w:cs="Times New Roman"/>
          <w:snapToGrid/>
          <w:szCs w:val="22"/>
        </w:rPr>
      </w:r>
      <w:r w:rsidR="00366B4B" w:rsidRPr="009E7178">
        <w:rPr>
          <w:rFonts w:eastAsiaTheme="minorHAnsi" w:cs="Times New Roman"/>
          <w:snapToGrid/>
          <w:szCs w:val="22"/>
        </w:rPr>
        <w:fldChar w:fldCharType="separate"/>
      </w:r>
      <w:r w:rsidR="000E7C0F">
        <w:rPr>
          <w:rFonts w:eastAsiaTheme="minorHAnsi" w:cs="Times New Roman"/>
          <w:snapToGrid/>
          <w:szCs w:val="22"/>
        </w:rPr>
        <w:t>7.6</w:t>
      </w:r>
      <w:r w:rsidR="00366B4B" w:rsidRPr="009E7178">
        <w:rPr>
          <w:rFonts w:eastAsiaTheme="minorHAnsi" w:cs="Times New Roman"/>
          <w:snapToGrid/>
          <w:szCs w:val="22"/>
        </w:rPr>
        <w:fldChar w:fldCharType="end"/>
      </w:r>
      <w:r w:rsidRPr="009E7178">
        <w:rPr>
          <w:rFonts w:eastAsiaTheme="minorHAnsi" w:cs="Times New Roman"/>
          <w:snapToGrid/>
          <w:szCs w:val="22"/>
        </w:rPr>
        <w:t>.</w:t>
      </w:r>
    </w:p>
    <w:p w14:paraId="427B3645" w14:textId="562E71E2" w:rsidR="00AF757A" w:rsidRPr="009E7178" w:rsidRDefault="00AF757A" w:rsidP="006940EA">
      <w:pPr>
        <w:pStyle w:val="Heading1"/>
        <w:numPr>
          <w:ilvl w:val="0"/>
          <w:numId w:val="4"/>
        </w:numPr>
        <w:contextualSpacing w:val="0"/>
        <w:rPr>
          <w:b w:val="0"/>
        </w:rPr>
      </w:pPr>
      <w:bookmarkStart w:id="42" w:name="_Toc131607634"/>
      <w:bookmarkStart w:id="43" w:name="_Toc131676596"/>
      <w:bookmarkStart w:id="44" w:name="_Toc131684507"/>
      <w:bookmarkStart w:id="45" w:name="_Toc131607635"/>
      <w:bookmarkStart w:id="46" w:name="_Toc131676597"/>
      <w:bookmarkStart w:id="47" w:name="_Toc131684508"/>
      <w:bookmarkStart w:id="48" w:name="_Toc131607636"/>
      <w:bookmarkStart w:id="49" w:name="_Toc131676598"/>
      <w:bookmarkStart w:id="50" w:name="_Toc131684509"/>
      <w:bookmarkStart w:id="51" w:name="_Toc131607637"/>
      <w:bookmarkStart w:id="52" w:name="_Toc131676599"/>
      <w:bookmarkStart w:id="53" w:name="_Toc131684510"/>
      <w:bookmarkStart w:id="54" w:name="_Toc131607638"/>
      <w:bookmarkStart w:id="55" w:name="_Toc131676600"/>
      <w:bookmarkStart w:id="56" w:name="_Toc131684511"/>
      <w:bookmarkStart w:id="57" w:name="_Toc131607639"/>
      <w:bookmarkStart w:id="58" w:name="_Toc131676601"/>
      <w:bookmarkStart w:id="59" w:name="_Toc131684512"/>
      <w:bookmarkStart w:id="60" w:name="_Toc131607640"/>
      <w:bookmarkStart w:id="61" w:name="_Toc131676602"/>
      <w:bookmarkStart w:id="62" w:name="_Toc131684513"/>
      <w:bookmarkStart w:id="63" w:name="_Toc131607641"/>
      <w:bookmarkStart w:id="64" w:name="_Toc131676603"/>
      <w:bookmarkStart w:id="65" w:name="_Toc131684514"/>
      <w:bookmarkStart w:id="66" w:name="_Toc131607642"/>
      <w:bookmarkStart w:id="67" w:name="_Toc131676604"/>
      <w:bookmarkStart w:id="68" w:name="_Toc131684515"/>
      <w:bookmarkStart w:id="69" w:name="_Toc131607643"/>
      <w:bookmarkStart w:id="70" w:name="_Toc131676605"/>
      <w:bookmarkStart w:id="71" w:name="_Toc131684516"/>
      <w:bookmarkStart w:id="72" w:name="_Toc131607644"/>
      <w:bookmarkStart w:id="73" w:name="_Toc131676606"/>
      <w:bookmarkStart w:id="74" w:name="_Toc131684517"/>
      <w:bookmarkStart w:id="75" w:name="_Toc131607645"/>
      <w:bookmarkStart w:id="76" w:name="_Toc131676607"/>
      <w:bookmarkStart w:id="77" w:name="_Toc131684518"/>
      <w:bookmarkStart w:id="78" w:name="_Toc131607646"/>
      <w:bookmarkStart w:id="79" w:name="_Toc131676608"/>
      <w:bookmarkStart w:id="80" w:name="_Toc131684519"/>
      <w:bookmarkStart w:id="81" w:name="_Toc131607647"/>
      <w:bookmarkStart w:id="82" w:name="_Toc131676609"/>
      <w:bookmarkStart w:id="83" w:name="_Toc131684520"/>
      <w:bookmarkStart w:id="84" w:name="_Toc131607648"/>
      <w:bookmarkStart w:id="85" w:name="_Toc131676610"/>
      <w:bookmarkStart w:id="86" w:name="_Toc131684521"/>
      <w:bookmarkStart w:id="87" w:name="_Toc131607649"/>
      <w:bookmarkStart w:id="88" w:name="_Toc131676611"/>
      <w:bookmarkStart w:id="89" w:name="_Toc131684522"/>
      <w:bookmarkStart w:id="90" w:name="_Toc131607650"/>
      <w:bookmarkStart w:id="91" w:name="_Toc131676612"/>
      <w:bookmarkStart w:id="92" w:name="_Toc131684523"/>
      <w:bookmarkStart w:id="93" w:name="_Toc131607651"/>
      <w:bookmarkStart w:id="94" w:name="_Toc131676613"/>
      <w:bookmarkStart w:id="95" w:name="_Toc131684524"/>
      <w:bookmarkStart w:id="96" w:name="_Toc131607652"/>
      <w:bookmarkStart w:id="97" w:name="_Toc131676614"/>
      <w:bookmarkStart w:id="98" w:name="_Toc131684525"/>
      <w:bookmarkStart w:id="99" w:name="_Toc131607653"/>
      <w:bookmarkStart w:id="100" w:name="_Toc131676615"/>
      <w:bookmarkStart w:id="101" w:name="_Toc131684526"/>
      <w:bookmarkStart w:id="102" w:name="_Toc13720729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E7178">
        <w:t>Sales outside target market</w:t>
      </w:r>
      <w:r w:rsidR="00A12DF8" w:rsidRPr="009E7178">
        <w:t>s</w:t>
      </w:r>
      <w:bookmarkEnd w:id="102"/>
    </w:p>
    <w:p w14:paraId="0BDDD62D" w14:textId="77777777" w:rsidR="00AF757A" w:rsidRPr="009E7178" w:rsidRDefault="00AF757A" w:rsidP="006940EA">
      <w:pPr>
        <w:pStyle w:val="Listlevel2"/>
      </w:pPr>
      <w:r w:rsidRPr="009E7178">
        <w:t>Where all other legal requirements are met (including the applicable rules on disclosure, appropriateness, identification and management of conflicts of interest), products could be sold outside the positive target market, provided that these instances are justified by the facts of each case, the reason for the deviation is clearly documented, and where applicable, included in the suitability report.</w:t>
      </w:r>
    </w:p>
    <w:p w14:paraId="586E3F68" w14:textId="77777777" w:rsidR="00AF757A" w:rsidRPr="009E7178" w:rsidRDefault="00AF757A" w:rsidP="006940EA">
      <w:pPr>
        <w:pStyle w:val="Listlevel2"/>
      </w:pPr>
      <w:r w:rsidRPr="009E7178">
        <w:t>Sales to the negative target market should occur only in justified, rare circumstances (e.g. where the client is investing as part of a diversified portfolio approach or for hedging purposes) and the justification for such deviation should be accordingly significant and more substantiated than a justification for a sale outside the positive target market.</w:t>
      </w:r>
    </w:p>
    <w:p w14:paraId="1883686D" w14:textId="22F58377" w:rsidR="00AF757A" w:rsidRPr="009E7178" w:rsidRDefault="00AF757A" w:rsidP="006940EA">
      <w:pPr>
        <w:pStyle w:val="Listlevel2"/>
      </w:pPr>
      <w:r w:rsidRPr="009E7178">
        <w:t xml:space="preserve">Sales to the negative target market may be made </w:t>
      </w:r>
      <w:r w:rsidR="00E16805" w:rsidRPr="009E7178">
        <w:t xml:space="preserve">at the initiative of the Company </w:t>
      </w:r>
      <w:r w:rsidRPr="009E7178">
        <w:t>if needed for hedging and other sound trading and portfolio management practices.</w:t>
      </w:r>
    </w:p>
    <w:p w14:paraId="0449E9CE" w14:textId="2C42CE38" w:rsidR="00AF757A" w:rsidRPr="009E7178" w:rsidRDefault="00E16805" w:rsidP="00E16805">
      <w:pPr>
        <w:pStyle w:val="Listlevel2withoutnumber"/>
      </w:pPr>
      <w:r w:rsidRPr="009E7178">
        <w:t xml:space="preserve">The </w:t>
      </w:r>
      <w:r w:rsidR="00AF757A" w:rsidRPr="009E7178">
        <w:t xml:space="preserve">Company is not required to report sales outside of the positive target market to the </w:t>
      </w:r>
      <w:r w:rsidR="007E2942" w:rsidRPr="009E7178">
        <w:t>Manufacturer</w:t>
      </w:r>
      <w:r w:rsidR="00AF757A" w:rsidRPr="009E7178">
        <w:t xml:space="preserve"> if these sales are for diversification and hedging purposes and the sales are still suitable, given the client’s total portfolio or the risk being hedged.</w:t>
      </w:r>
    </w:p>
    <w:p w14:paraId="6C61742D" w14:textId="04B8295C" w:rsidR="008E7853" w:rsidRPr="009E7178" w:rsidRDefault="008E7853" w:rsidP="0043794D">
      <w:pPr>
        <w:pStyle w:val="Listlevel2"/>
      </w:pPr>
      <w:bookmarkStart w:id="103" w:name="_Ref131608105"/>
      <w:r w:rsidRPr="009E7178">
        <w:t>The Company undertakes reasonable efforts to make financial instruments not available to a client if these instruments do not</w:t>
      </w:r>
      <w:bookmarkEnd w:id="103"/>
      <w:r w:rsidRPr="009E7178">
        <w:t xml:space="preserve"> </w:t>
      </w:r>
      <w:r w:rsidR="000806EA" w:rsidRPr="009E7178">
        <w:t xml:space="preserve">fit a </w:t>
      </w:r>
      <w:r w:rsidR="0043794D" w:rsidRPr="009E7178">
        <w:t>sustainability preferences of the client</w:t>
      </w:r>
      <w:r w:rsidR="000806EA" w:rsidRPr="009E7178">
        <w:t>.</w:t>
      </w:r>
    </w:p>
    <w:p w14:paraId="4BEC38E0" w14:textId="311EF523" w:rsidR="00832F6A" w:rsidRPr="009E7178" w:rsidRDefault="00832F6A" w:rsidP="008E7853">
      <w:pPr>
        <w:pStyle w:val="Listlevel2withoutnumber"/>
      </w:pPr>
      <w:r w:rsidRPr="009E7178">
        <w:t xml:space="preserve">If the Company does not have access to </w:t>
      </w:r>
      <w:r w:rsidR="00651B04" w:rsidRPr="009E7178">
        <w:t>even a single product</w:t>
      </w:r>
      <w:r w:rsidRPr="009E7178">
        <w:t xml:space="preserve"> that meet</w:t>
      </w:r>
      <w:r w:rsidR="00651B04" w:rsidRPr="009E7178">
        <w:t>s</w:t>
      </w:r>
      <w:r w:rsidRPr="009E7178">
        <w:t xml:space="preserve"> the client’s sustainability criteria:</w:t>
      </w:r>
    </w:p>
    <w:p w14:paraId="4530CA3C" w14:textId="704C3F59" w:rsidR="00832F6A" w:rsidRPr="009E7178" w:rsidRDefault="00832F6A" w:rsidP="00832F6A">
      <w:pPr>
        <w:pStyle w:val="Listlevel3"/>
      </w:pPr>
      <w:r w:rsidRPr="009E7178">
        <w:t>the Company notifies the client of that fact;</w:t>
      </w:r>
      <w:r w:rsidR="003A5638" w:rsidRPr="009E7178">
        <w:t xml:space="preserve"> and</w:t>
      </w:r>
    </w:p>
    <w:p w14:paraId="54751395" w14:textId="7F701970" w:rsidR="00832F6A" w:rsidRPr="009E7178" w:rsidRDefault="005E309C" w:rsidP="00832F6A">
      <w:pPr>
        <w:pStyle w:val="Listlevel3"/>
      </w:pPr>
      <w:bookmarkStart w:id="104" w:name="_Ref131601313"/>
      <w:r w:rsidRPr="009E7178">
        <w:t>shows</w:t>
      </w:r>
      <w:r w:rsidR="00832F6A" w:rsidRPr="009E7178">
        <w:t xml:space="preserve"> </w:t>
      </w:r>
      <w:r w:rsidRPr="009E7178">
        <w:t xml:space="preserve">characteristics of </w:t>
      </w:r>
      <w:r w:rsidR="00832F6A" w:rsidRPr="009E7178">
        <w:t>other instruments with close sustainability factors</w:t>
      </w:r>
      <w:r w:rsidR="00832F6A" w:rsidRPr="009E7178">
        <w:rPr>
          <w:lang w:val="ru-RU"/>
        </w:rPr>
        <w:t xml:space="preserve"> </w:t>
      </w:r>
      <w:r w:rsidR="00832F6A" w:rsidRPr="009E7178">
        <w:t>which are accessible through the Company.</w:t>
      </w:r>
      <w:bookmarkEnd w:id="104"/>
    </w:p>
    <w:p w14:paraId="4B076556" w14:textId="5F3D5C3F" w:rsidR="00832F6A" w:rsidRPr="009E7178" w:rsidRDefault="00832F6A" w:rsidP="00762BF1">
      <w:pPr>
        <w:pStyle w:val="Listlevel2withoutnumber"/>
      </w:pPr>
      <w:r w:rsidRPr="009E7178">
        <w:t xml:space="preserve">If a client </w:t>
      </w:r>
      <w:r w:rsidRPr="009E7178">
        <w:rPr>
          <w:i/>
        </w:rPr>
        <w:t>confirms</w:t>
      </w:r>
      <w:r w:rsidRPr="009E7178">
        <w:t xml:space="preserve"> that the instruments exposed under Section </w:t>
      </w:r>
      <w:r w:rsidRPr="009E7178">
        <w:fldChar w:fldCharType="begin"/>
      </w:r>
      <w:r w:rsidRPr="009E7178">
        <w:instrText xml:space="preserve"> REF _Ref131601313 \w \h </w:instrText>
      </w:r>
      <w:r w:rsidR="009E7178">
        <w:instrText xml:space="preserve"> \* MERGEFORMAT </w:instrText>
      </w:r>
      <w:r w:rsidRPr="009E7178">
        <w:fldChar w:fldCharType="separate"/>
      </w:r>
      <w:r w:rsidR="000E7C0F">
        <w:t>10.4(b)</w:t>
      </w:r>
      <w:r w:rsidRPr="009E7178">
        <w:fldChar w:fldCharType="end"/>
      </w:r>
      <w:r w:rsidRPr="009E7178">
        <w:t xml:space="preserve"> </w:t>
      </w:r>
      <w:r w:rsidR="00C055B0" w:rsidRPr="009E7178">
        <w:t xml:space="preserve">are </w:t>
      </w:r>
      <w:r w:rsidR="00C055B0" w:rsidRPr="009E7178">
        <w:rPr>
          <w:i/>
        </w:rPr>
        <w:t>suitable</w:t>
      </w:r>
      <w:r w:rsidR="00C055B0" w:rsidRPr="009E7178">
        <w:t xml:space="preserve"> </w:t>
      </w:r>
      <w:r w:rsidR="00762BF1" w:rsidRPr="009E7178">
        <w:t xml:space="preserve">to </w:t>
      </w:r>
      <w:r w:rsidR="00C055B0" w:rsidRPr="009E7178">
        <w:t>him</w:t>
      </w:r>
      <w:r w:rsidR="00957C82" w:rsidRPr="009E7178">
        <w:t xml:space="preserve"> (as regards client’s sustainability criteria)</w:t>
      </w:r>
      <w:r w:rsidR="00C055B0" w:rsidRPr="009E7178">
        <w:t xml:space="preserve"> </w:t>
      </w:r>
      <w:r w:rsidR="00762BF1" w:rsidRPr="009E7178">
        <w:t xml:space="preserve">then </w:t>
      </w:r>
      <w:r w:rsidR="00C055B0" w:rsidRPr="009E7178">
        <w:t xml:space="preserve">client’s </w:t>
      </w:r>
      <w:r w:rsidR="00762BF1" w:rsidRPr="009E7178">
        <w:t>sustainability preferences are automatically adjusted to characteristics of the instrument</w:t>
      </w:r>
      <w:r w:rsidR="000763C3" w:rsidRPr="009E7178">
        <w:t>s</w:t>
      </w:r>
      <w:r w:rsidR="003A5638" w:rsidRPr="009E7178">
        <w:t xml:space="preserve"> with lowest </w:t>
      </w:r>
      <w:r w:rsidR="003D36EC" w:rsidRPr="009E7178">
        <w:t>rating</w:t>
      </w:r>
      <w:r w:rsidR="004C1BC1" w:rsidRPr="009E7178">
        <w:t>s</w:t>
      </w:r>
      <w:r w:rsidR="00DA4CA9" w:rsidRPr="009E7178">
        <w:t xml:space="preserve"> on </w:t>
      </w:r>
      <w:r w:rsidR="003A5638" w:rsidRPr="009E7178">
        <w:t xml:space="preserve">sustainability </w:t>
      </w:r>
      <w:r w:rsidR="00DA4CA9" w:rsidRPr="009E7178">
        <w:t>factor</w:t>
      </w:r>
      <w:r w:rsidR="004C1BC1" w:rsidRPr="009E7178">
        <w:t>s</w:t>
      </w:r>
      <w:r w:rsidR="003A5638" w:rsidRPr="009E7178">
        <w:t>.</w:t>
      </w:r>
    </w:p>
    <w:p w14:paraId="0A8CEAA2" w14:textId="5008D54C" w:rsidR="005E309C" w:rsidRPr="009E7178" w:rsidRDefault="005E309C" w:rsidP="00762BF1">
      <w:pPr>
        <w:pStyle w:val="Listlevel2withoutnumber"/>
      </w:pPr>
      <w:r w:rsidRPr="009E7178">
        <w:t xml:space="preserve">If </w:t>
      </w:r>
      <w:r w:rsidR="00C055B0" w:rsidRPr="009E7178">
        <w:t xml:space="preserve">a client </w:t>
      </w:r>
      <w:r w:rsidR="00C055B0" w:rsidRPr="009E7178">
        <w:rPr>
          <w:i/>
        </w:rPr>
        <w:t xml:space="preserve">does </w:t>
      </w:r>
      <w:r w:rsidR="001F1499" w:rsidRPr="009E7178">
        <w:rPr>
          <w:i/>
        </w:rPr>
        <w:t xml:space="preserve">not </w:t>
      </w:r>
      <w:r w:rsidR="003D36EC" w:rsidRPr="009E7178">
        <w:rPr>
          <w:i/>
        </w:rPr>
        <w:t>find</w:t>
      </w:r>
      <w:r w:rsidR="003D36EC" w:rsidRPr="009E7178">
        <w:t xml:space="preserve"> </w:t>
      </w:r>
      <w:r w:rsidR="00C055B0" w:rsidRPr="009E7178">
        <w:t>the instruments exposed under Section </w:t>
      </w:r>
      <w:r w:rsidR="00C055B0" w:rsidRPr="009E7178">
        <w:fldChar w:fldCharType="begin"/>
      </w:r>
      <w:r w:rsidR="00C055B0" w:rsidRPr="009E7178">
        <w:instrText xml:space="preserve"> REF _Ref131601313 \w \h </w:instrText>
      </w:r>
      <w:r w:rsidR="009E7178">
        <w:instrText xml:space="preserve"> \* MERGEFORMAT </w:instrText>
      </w:r>
      <w:r w:rsidR="00C055B0" w:rsidRPr="009E7178">
        <w:fldChar w:fldCharType="separate"/>
      </w:r>
      <w:r w:rsidR="000E7C0F">
        <w:t>10.4(b)</w:t>
      </w:r>
      <w:r w:rsidR="00C055B0" w:rsidRPr="009E7178">
        <w:fldChar w:fldCharType="end"/>
      </w:r>
      <w:r w:rsidR="00C055B0" w:rsidRPr="009E7178">
        <w:t xml:space="preserve"> </w:t>
      </w:r>
      <w:r w:rsidR="004751AB" w:rsidRPr="009E7178">
        <w:rPr>
          <w:i/>
        </w:rPr>
        <w:t>suitable</w:t>
      </w:r>
      <w:r w:rsidR="004751AB" w:rsidRPr="009E7178">
        <w:t xml:space="preserve"> </w:t>
      </w:r>
      <w:r w:rsidR="00957C82" w:rsidRPr="009E7178">
        <w:t xml:space="preserve">(based on the client’s sustainability criteria) </w:t>
      </w:r>
      <w:r w:rsidR="003D36EC" w:rsidRPr="009E7178">
        <w:t xml:space="preserve">then the Company asks </w:t>
      </w:r>
      <w:r w:rsidR="00876351" w:rsidRPr="009E7178">
        <w:t xml:space="preserve">the </w:t>
      </w:r>
      <w:r w:rsidR="003D36EC" w:rsidRPr="009E7178">
        <w:t>client whether he will:</w:t>
      </w:r>
    </w:p>
    <w:p w14:paraId="48E12764" w14:textId="44DBC1FE" w:rsidR="009B0823" w:rsidRPr="009E7178" w:rsidRDefault="000F2406" w:rsidP="003D36EC">
      <w:pPr>
        <w:pStyle w:val="Listlevel4"/>
      </w:pPr>
      <w:r w:rsidRPr="009E7178">
        <w:t xml:space="preserve">he would like to </w:t>
      </w:r>
      <w:r w:rsidR="009B0823" w:rsidRPr="009E7178">
        <w:t xml:space="preserve">adjust </w:t>
      </w:r>
      <w:r w:rsidR="00876351" w:rsidRPr="009E7178">
        <w:t xml:space="preserve">his </w:t>
      </w:r>
      <w:r w:rsidR="009B0823" w:rsidRPr="009E7178">
        <w:t xml:space="preserve">sustainability preferences in accordance with </w:t>
      </w:r>
      <w:r w:rsidRPr="009E7178">
        <w:t>his</w:t>
      </w:r>
      <w:r w:rsidR="009B0823" w:rsidRPr="009E7178">
        <w:t xml:space="preserve"> objectives;</w:t>
      </w:r>
    </w:p>
    <w:p w14:paraId="63C7785F" w14:textId="718E21E0" w:rsidR="003D36EC" w:rsidRPr="009E7178" w:rsidRDefault="009B0823" w:rsidP="003D36EC">
      <w:pPr>
        <w:pStyle w:val="Listlevel4"/>
      </w:pPr>
      <w:r w:rsidRPr="009E7178">
        <w:t xml:space="preserve">indicate </w:t>
      </w:r>
      <w:r w:rsidR="003D36EC" w:rsidRPr="009E7178">
        <w:t>that he has no sustainability preferenc</w:t>
      </w:r>
      <w:r w:rsidRPr="009E7178">
        <w:t>es and thus will have access to financial instruments irrespective of sustainability factors (sustainability neutral);</w:t>
      </w:r>
    </w:p>
    <w:p w14:paraId="09961FB4" w14:textId="00E78D67" w:rsidR="009B0823" w:rsidRPr="009E7178" w:rsidRDefault="009B0823" w:rsidP="003D36EC">
      <w:pPr>
        <w:pStyle w:val="Listlevel4"/>
      </w:pPr>
      <w:r w:rsidRPr="009E7178">
        <w:lastRenderedPageBreak/>
        <w:t xml:space="preserve">leave the </w:t>
      </w:r>
      <w:r w:rsidR="00F10F56" w:rsidRPr="009E7178">
        <w:t>sustainability</w:t>
      </w:r>
      <w:r w:rsidRPr="009E7178">
        <w:t xml:space="preserve"> preferences intact and await access to instruments which conform to the existing sustainability preferences; or</w:t>
      </w:r>
    </w:p>
    <w:p w14:paraId="07E3DFDF" w14:textId="251625D4" w:rsidR="009B0823" w:rsidRPr="009E7178" w:rsidRDefault="009B0823" w:rsidP="003D36EC">
      <w:pPr>
        <w:pStyle w:val="Listlevel4"/>
      </w:pPr>
      <w:r w:rsidRPr="009E7178">
        <w:t xml:space="preserve">modify or terminate </w:t>
      </w:r>
      <w:r w:rsidR="00632202" w:rsidRPr="009E7178">
        <w:t xml:space="preserve">a respective </w:t>
      </w:r>
      <w:r w:rsidRPr="009E7178">
        <w:t>agreement by mutual agreement with the Company.</w:t>
      </w:r>
    </w:p>
    <w:p w14:paraId="7D829BA7" w14:textId="6075CD43" w:rsidR="002F1917" w:rsidRPr="009E7178" w:rsidRDefault="00183ADB" w:rsidP="006940EA">
      <w:pPr>
        <w:pStyle w:val="Listlevel2"/>
        <w:rPr>
          <w:bCs/>
        </w:rPr>
      </w:pPr>
      <w:bookmarkStart w:id="105" w:name="_Ref131607574"/>
      <w:r w:rsidRPr="009E7178">
        <w:rPr>
          <w:bCs/>
        </w:rPr>
        <w:t>If a client filed an order to make a transaction with a</w:t>
      </w:r>
      <w:r w:rsidR="004F4C59" w:rsidRPr="009E7178">
        <w:rPr>
          <w:bCs/>
        </w:rPr>
        <w:t xml:space="preserve"> particular</w:t>
      </w:r>
      <w:r w:rsidRPr="009E7178">
        <w:rPr>
          <w:bCs/>
        </w:rPr>
        <w:t xml:space="preserve"> </w:t>
      </w:r>
      <w:r w:rsidRPr="009E7178">
        <w:t>financial instrument</w:t>
      </w:r>
      <w:r w:rsidR="008D78EE" w:rsidRPr="009E7178">
        <w:t xml:space="preserve"> , which does not meet client’s general sustainability preferences,</w:t>
      </w:r>
      <w:r w:rsidR="00F10F56" w:rsidRPr="009E7178">
        <w:t xml:space="preserve"> </w:t>
      </w:r>
      <w:r w:rsidR="008D78EE" w:rsidRPr="009E7178">
        <w:t>but did not unequivocally</w:t>
      </w:r>
      <w:r w:rsidR="00F10F56" w:rsidRPr="009E7178">
        <w:t xml:space="preserve"> require</w:t>
      </w:r>
      <w:r w:rsidR="008D78EE" w:rsidRPr="009E7178">
        <w:t xml:space="preserve"> </w:t>
      </w:r>
      <w:r w:rsidR="00F10F56" w:rsidRPr="009E7178">
        <w:t>obse</w:t>
      </w:r>
      <w:r w:rsidR="008D78EE" w:rsidRPr="009E7178">
        <w:t xml:space="preserve">rvance of </w:t>
      </w:r>
      <w:r w:rsidR="00F10F56" w:rsidRPr="009E7178">
        <w:t>sustainability preferences</w:t>
      </w:r>
      <w:r w:rsidR="002F1917" w:rsidRPr="009E7178">
        <w:t>, the Company:</w:t>
      </w:r>
      <w:bookmarkEnd w:id="105"/>
    </w:p>
    <w:p w14:paraId="4FC129B7" w14:textId="406A2BB2" w:rsidR="008D78EE" w:rsidRPr="009E7178" w:rsidRDefault="008D78EE" w:rsidP="00C05F9D">
      <w:pPr>
        <w:pStyle w:val="Listlevel3"/>
      </w:pPr>
      <w:r w:rsidRPr="009E7178">
        <w:t>may proceed with the transaction;</w:t>
      </w:r>
    </w:p>
    <w:p w14:paraId="12BF5718" w14:textId="15D093A7" w:rsidR="00C05F9D" w:rsidRPr="009E7178" w:rsidRDefault="00C05F9D" w:rsidP="00C05F9D">
      <w:pPr>
        <w:pStyle w:val="Listlevel3"/>
      </w:pPr>
      <w:r w:rsidRPr="009E7178">
        <w:t>is not required to notify the client on that fact before and after the transaction; and</w:t>
      </w:r>
    </w:p>
    <w:p w14:paraId="68867BA3" w14:textId="5E921AD5" w:rsidR="002F1917" w:rsidRPr="009E7178" w:rsidRDefault="002F1917" w:rsidP="002F1917">
      <w:pPr>
        <w:pStyle w:val="Listlevel3"/>
      </w:pPr>
      <w:r w:rsidRPr="009E7178">
        <w:t>does not deem the instrument outside</w:t>
      </w:r>
      <w:r w:rsidR="00C05F9D" w:rsidRPr="009E7178">
        <w:t xml:space="preserve"> client’s sustainability preferences</w:t>
      </w:r>
      <w:r w:rsidR="007A3564" w:rsidRPr="009E7178">
        <w:t>.</w:t>
      </w:r>
    </w:p>
    <w:p w14:paraId="229B2CE6" w14:textId="77777777" w:rsidR="00AF757A" w:rsidRPr="009E7178" w:rsidRDefault="00AF757A" w:rsidP="006940EA">
      <w:pPr>
        <w:pStyle w:val="Heading1"/>
        <w:numPr>
          <w:ilvl w:val="0"/>
          <w:numId w:val="4"/>
        </w:numPr>
        <w:contextualSpacing w:val="0"/>
        <w:rPr>
          <w:b w:val="0"/>
          <w:bCs/>
        </w:rPr>
      </w:pPr>
      <w:bookmarkStart w:id="106" w:name="_Toc131607655"/>
      <w:bookmarkStart w:id="107" w:name="_Toc131676617"/>
      <w:bookmarkStart w:id="108" w:name="_Toc131684528"/>
      <w:bookmarkStart w:id="109" w:name="_Ref114670025"/>
      <w:bookmarkStart w:id="110" w:name="_Toc137207293"/>
      <w:bookmarkEnd w:id="106"/>
      <w:bookmarkEnd w:id="107"/>
      <w:bookmarkEnd w:id="108"/>
      <w:r w:rsidRPr="009E7178">
        <w:t>Distribution</w:t>
      </w:r>
      <w:r w:rsidRPr="009E7178">
        <w:rPr>
          <w:bCs/>
        </w:rPr>
        <w:t xml:space="preserve"> Strategy</w:t>
      </w:r>
      <w:bookmarkEnd w:id="109"/>
      <w:bookmarkEnd w:id="110"/>
    </w:p>
    <w:p w14:paraId="36163BB6" w14:textId="77777777" w:rsidR="00AF757A" w:rsidRPr="009E7178" w:rsidRDefault="00AF757A" w:rsidP="006940EA">
      <w:pPr>
        <w:pStyle w:val="Listlevel2"/>
      </w:pPr>
      <w:r w:rsidRPr="009E7178">
        <w:t>The distribution strategy shall be defined at an early stage, in order to ensure that a product is only included in the Company’s product range when this is aligned with the type of service that the Company provides.</w:t>
      </w:r>
    </w:p>
    <w:p w14:paraId="0DFD8BE3" w14:textId="549791D0" w:rsidR="00AF757A" w:rsidRPr="009E7178" w:rsidRDefault="00AF757A" w:rsidP="006940EA">
      <w:pPr>
        <w:pStyle w:val="Listlevel2"/>
        <w:rPr>
          <w:b/>
        </w:rPr>
      </w:pPr>
      <w:r w:rsidRPr="009E7178">
        <w:t xml:space="preserve">When determining a distribution strategy, the Company shall consider various factors, including the client’s needs and risk appetite, impact of charges on the end clients, financial strength of the </w:t>
      </w:r>
      <w:r w:rsidR="007E2942" w:rsidRPr="009E7178">
        <w:t>Manufacturer</w:t>
      </w:r>
      <w:r w:rsidRPr="009E7178">
        <w:t xml:space="preserve"> and how the </w:t>
      </w:r>
      <w:r w:rsidR="007E2942" w:rsidRPr="009E7178">
        <w:t>Manufacturer</w:t>
      </w:r>
      <w:r w:rsidRPr="009E7178">
        <w:t xml:space="preserve"> will deal with post sale complaints or claims. The Company must also take into account the </w:t>
      </w:r>
      <w:r w:rsidR="007E2942" w:rsidRPr="009E7178">
        <w:t>Manufacturer</w:t>
      </w:r>
      <w:r w:rsidRPr="009E7178">
        <w:t xml:space="preserve">’s distribution strategy. If the Company decides to deviate from a </w:t>
      </w:r>
      <w:r w:rsidR="007E2942" w:rsidRPr="009E7178">
        <w:t>Manufacturer</w:t>
      </w:r>
      <w:r w:rsidRPr="009E7178">
        <w:t xml:space="preserve">’s distribution strategy, it must only do so where it has conducted a “thorough analysis” of the products and target client. Further, any decision to deviate from the </w:t>
      </w:r>
      <w:r w:rsidR="007E2942" w:rsidRPr="009E7178">
        <w:t>Manufacturer</w:t>
      </w:r>
      <w:r w:rsidRPr="009E7178">
        <w:t xml:space="preserve">’s distribution strategy must be reported to the </w:t>
      </w:r>
      <w:r w:rsidR="007E2942" w:rsidRPr="009E7178">
        <w:t>Manufacturer</w:t>
      </w:r>
      <w:r w:rsidRPr="009E7178">
        <w:t xml:space="preserve"> by way of </w:t>
      </w:r>
      <w:r w:rsidR="00BE47C4" w:rsidRPr="009E7178">
        <w:t xml:space="preserve">Distributor </w:t>
      </w:r>
      <w:r w:rsidRPr="009E7178">
        <w:t xml:space="preserve">feedback. Manufacturers, in turn, should take this into account in their product governance process when selecting suitable </w:t>
      </w:r>
      <w:r w:rsidR="00BE47C4" w:rsidRPr="009E7178">
        <w:t>Distributors</w:t>
      </w:r>
      <w:r w:rsidRPr="009E7178">
        <w:rPr>
          <w:b/>
        </w:rPr>
        <w:t>.</w:t>
      </w:r>
    </w:p>
    <w:p w14:paraId="52EC43FA" w14:textId="3AB6A252" w:rsidR="00AF757A" w:rsidRPr="009E7178" w:rsidRDefault="00AF757A" w:rsidP="006940EA">
      <w:pPr>
        <w:pStyle w:val="Listlevel2"/>
      </w:pPr>
      <w:r w:rsidRPr="009E7178">
        <w:t xml:space="preserve">In </w:t>
      </w:r>
      <w:r w:rsidRPr="009E7178">
        <w:rPr>
          <w:bCs/>
        </w:rPr>
        <w:t>addition</w:t>
      </w:r>
      <w:r w:rsidRPr="009E7178">
        <w:t>, the Company shall have in place adequate arrangements to ensure that the distribution strategy is consistent with the target market</w:t>
      </w:r>
      <w:r w:rsidR="00525E21" w:rsidRPr="009E7178">
        <w:t xml:space="preserve"> and, if needed, sustainability</w:t>
      </w:r>
      <w:r w:rsidR="00525E21" w:rsidRPr="009E7178">
        <w:rPr>
          <w:bCs/>
        </w:rPr>
        <w:t xml:space="preserve"> factors</w:t>
      </w:r>
      <w:r w:rsidRPr="009E7178">
        <w:t>.</w:t>
      </w:r>
    </w:p>
    <w:p w14:paraId="4CF8B6B8" w14:textId="77777777" w:rsidR="00AF757A" w:rsidRPr="009E7178" w:rsidRDefault="00AF757A" w:rsidP="006940EA">
      <w:pPr>
        <w:pStyle w:val="Heading1"/>
        <w:numPr>
          <w:ilvl w:val="0"/>
          <w:numId w:val="4"/>
        </w:numPr>
        <w:contextualSpacing w:val="0"/>
        <w:rPr>
          <w:b w:val="0"/>
          <w:bCs/>
        </w:rPr>
      </w:pPr>
      <w:bookmarkStart w:id="111" w:name="_Toc514754697"/>
      <w:bookmarkStart w:id="112" w:name="_Toc51331427"/>
      <w:bookmarkStart w:id="113" w:name="_Toc137207294"/>
      <w:r w:rsidRPr="009E7178">
        <w:rPr>
          <w:bCs/>
        </w:rPr>
        <w:t xml:space="preserve">Information </w:t>
      </w:r>
      <w:r w:rsidRPr="009E7178">
        <w:t>Sharing</w:t>
      </w:r>
      <w:bookmarkEnd w:id="111"/>
      <w:bookmarkEnd w:id="112"/>
      <w:bookmarkEnd w:id="113"/>
    </w:p>
    <w:p w14:paraId="7C869612" w14:textId="55C1B10D" w:rsidR="00AF757A" w:rsidRPr="009E7178" w:rsidRDefault="00AF757A" w:rsidP="006940EA">
      <w:pPr>
        <w:pStyle w:val="Listlevel2"/>
      </w:pPr>
      <w:r w:rsidRPr="009E7178">
        <w:t xml:space="preserve">The </w:t>
      </w:r>
      <w:r w:rsidRPr="009E7178">
        <w:rPr>
          <w:bCs/>
        </w:rPr>
        <w:t>Company</w:t>
      </w:r>
      <w:r w:rsidRPr="009E7178">
        <w:t xml:space="preserve"> must provide to </w:t>
      </w:r>
      <w:r w:rsidR="007E2942" w:rsidRPr="009E7178">
        <w:t>Manufacturer</w:t>
      </w:r>
      <w:r w:rsidRPr="009E7178">
        <w:t>s information on sales and the post-sale reviews carried out by the Company.</w:t>
      </w:r>
    </w:p>
    <w:p w14:paraId="14A8CB5D" w14:textId="02B22D6C" w:rsidR="005C0A83" w:rsidRPr="009E7178" w:rsidRDefault="00AF757A" w:rsidP="006940EA">
      <w:pPr>
        <w:pStyle w:val="Listlevel2"/>
      </w:pPr>
      <w:r w:rsidRPr="009E7178">
        <w:t xml:space="preserve">The </w:t>
      </w:r>
      <w:r w:rsidRPr="009E7178">
        <w:rPr>
          <w:bCs/>
        </w:rPr>
        <w:t>sales</w:t>
      </w:r>
      <w:r w:rsidRPr="009E7178">
        <w:t xml:space="preserve"> information provided shall include items which are necessary for the </w:t>
      </w:r>
      <w:r w:rsidR="007E2942" w:rsidRPr="009E7178">
        <w:t>Manufacturer</w:t>
      </w:r>
      <w:r w:rsidRPr="009E7178">
        <w:t>s to check consistency with the needs, characteristics and objectives of the target market</w:t>
      </w:r>
      <w:r w:rsidR="005C0A83" w:rsidRPr="009E7178">
        <w:t>.</w:t>
      </w:r>
    </w:p>
    <w:p w14:paraId="4D3A82CE" w14:textId="088538B7" w:rsidR="00AF757A" w:rsidRPr="009E7178" w:rsidRDefault="00AF757A" w:rsidP="006940EA">
      <w:pPr>
        <w:pStyle w:val="Listlevel2"/>
      </w:pPr>
      <w:r w:rsidRPr="009E7178">
        <w:t xml:space="preserve">This </w:t>
      </w:r>
      <w:r w:rsidRPr="009E7178">
        <w:rPr>
          <w:bCs/>
        </w:rPr>
        <w:t>could</w:t>
      </w:r>
      <w:r w:rsidRPr="009E7178">
        <w:t xml:space="preserve"> include information on which distribution channels have been employed, the proportion of sales outside the target market, the types of clients, complaints received and any feedback received from clients to questions suggested by the </w:t>
      </w:r>
      <w:r w:rsidR="007E2942" w:rsidRPr="009E7178">
        <w:t>Manufacturer</w:t>
      </w:r>
      <w:r w:rsidRPr="009E7178">
        <w:t>.</w:t>
      </w:r>
    </w:p>
    <w:p w14:paraId="58B90794" w14:textId="1EDC39CD" w:rsidR="00AF757A" w:rsidRPr="009E7178" w:rsidRDefault="00AF757A" w:rsidP="006940EA">
      <w:pPr>
        <w:pStyle w:val="Heading1"/>
        <w:numPr>
          <w:ilvl w:val="0"/>
          <w:numId w:val="4"/>
        </w:numPr>
        <w:contextualSpacing w:val="0"/>
        <w:rPr>
          <w:b w:val="0"/>
          <w:bCs/>
        </w:rPr>
      </w:pPr>
      <w:bookmarkStart w:id="114" w:name="_Toc514754698"/>
      <w:bookmarkStart w:id="115" w:name="_Toc51331428"/>
      <w:bookmarkStart w:id="116" w:name="_Toc137207295"/>
      <w:r w:rsidRPr="009E7178">
        <w:rPr>
          <w:bCs/>
        </w:rPr>
        <w:t xml:space="preserve">Chains of </w:t>
      </w:r>
      <w:r w:rsidR="00BE47C4" w:rsidRPr="009E7178">
        <w:t>Distributors</w:t>
      </w:r>
      <w:bookmarkEnd w:id="114"/>
      <w:bookmarkEnd w:id="115"/>
      <w:bookmarkEnd w:id="116"/>
    </w:p>
    <w:p w14:paraId="4D64A470" w14:textId="77777777" w:rsidR="00AF757A" w:rsidRPr="009E7178" w:rsidRDefault="00AF757A" w:rsidP="006940EA">
      <w:pPr>
        <w:pStyle w:val="Listlevel2"/>
      </w:pPr>
      <w:r w:rsidRPr="009E7178">
        <w:rPr>
          <w:bCs/>
        </w:rPr>
        <w:t>Where</w:t>
      </w:r>
      <w:r w:rsidRPr="009E7178">
        <w:t xml:space="preserve"> the Company works together with other entities for the distribution of a financial instrument, the following shall apply:</w:t>
      </w:r>
    </w:p>
    <w:p w14:paraId="29053734" w14:textId="4A07F009" w:rsidR="00AF757A" w:rsidRPr="009E7178" w:rsidRDefault="00AF757A" w:rsidP="00A93E1B">
      <w:pPr>
        <w:pStyle w:val="Listlevel3"/>
      </w:pPr>
      <w:r w:rsidRPr="009E7178">
        <w:t xml:space="preserve">Where the Company distributes financial instruments to end clients (i.e. it has the direct client relationship), it shall meet the product governance obligations applying to </w:t>
      </w:r>
      <w:r w:rsidR="00BE47C4" w:rsidRPr="009E7178">
        <w:t xml:space="preserve">Distributors </w:t>
      </w:r>
      <w:r w:rsidR="00562387" w:rsidRPr="009E7178">
        <w:t xml:space="preserve">as </w:t>
      </w:r>
      <w:r w:rsidR="00CF6365" w:rsidRPr="009E7178">
        <w:t xml:space="preserve">set out </w:t>
      </w:r>
      <w:r w:rsidRPr="009E7178">
        <w:t xml:space="preserve">in </w:t>
      </w:r>
      <w:r w:rsidR="003E0DB5" w:rsidRPr="009E7178">
        <w:t>Section</w:t>
      </w:r>
      <w:r w:rsidR="00F425C6" w:rsidRPr="009E7178">
        <w:t>s </w:t>
      </w:r>
      <w:r w:rsidR="00F425C6" w:rsidRPr="009E7178">
        <w:fldChar w:fldCharType="begin"/>
      </w:r>
      <w:r w:rsidR="00F425C6" w:rsidRPr="009E7178">
        <w:instrText xml:space="preserve"> REF _Ref131094216 \r \h </w:instrText>
      </w:r>
      <w:r w:rsidR="009E7178">
        <w:instrText xml:space="preserve"> \* MERGEFORMAT </w:instrText>
      </w:r>
      <w:r w:rsidR="00F425C6" w:rsidRPr="009E7178">
        <w:fldChar w:fldCharType="separate"/>
      </w:r>
      <w:r w:rsidR="000E7C0F">
        <w:t>4</w:t>
      </w:r>
      <w:r w:rsidR="00F425C6" w:rsidRPr="009E7178">
        <w:fldChar w:fldCharType="end"/>
      </w:r>
      <w:r w:rsidR="00F425C6" w:rsidRPr="009E7178">
        <w:t xml:space="preserve"> and </w:t>
      </w:r>
      <w:r w:rsidR="003A325E" w:rsidRPr="009E7178">
        <w:fldChar w:fldCharType="begin"/>
      </w:r>
      <w:r w:rsidR="003A325E" w:rsidRPr="009E7178">
        <w:instrText xml:space="preserve"> REF _Ref130825813 \r \h </w:instrText>
      </w:r>
      <w:r w:rsidR="009E7178">
        <w:instrText xml:space="preserve"> \* MERGEFORMAT </w:instrText>
      </w:r>
      <w:r w:rsidR="003A325E" w:rsidRPr="009E7178">
        <w:fldChar w:fldCharType="separate"/>
      </w:r>
      <w:r w:rsidR="000E7C0F">
        <w:t>5.2</w:t>
      </w:r>
      <w:r w:rsidR="003A325E" w:rsidRPr="009E7178">
        <w:fldChar w:fldCharType="end"/>
      </w:r>
      <w:r w:rsidR="003A325E" w:rsidRPr="009E7178">
        <w:t>–</w:t>
      </w:r>
      <w:r w:rsidR="00F425C6" w:rsidRPr="009E7178">
        <w:fldChar w:fldCharType="begin"/>
      </w:r>
      <w:r w:rsidR="00F425C6" w:rsidRPr="009E7178">
        <w:instrText xml:space="preserve"> REF _Ref130825086 \r \h </w:instrText>
      </w:r>
      <w:r w:rsidR="009E7178">
        <w:instrText xml:space="preserve"> \* MERGEFORMAT </w:instrText>
      </w:r>
      <w:r w:rsidR="00F425C6" w:rsidRPr="009E7178">
        <w:fldChar w:fldCharType="separate"/>
      </w:r>
      <w:r w:rsidR="000E7C0F">
        <w:t>5.4</w:t>
      </w:r>
      <w:r w:rsidR="00F425C6" w:rsidRPr="009E7178">
        <w:fldChar w:fldCharType="end"/>
      </w:r>
      <w:r w:rsidR="003A325E" w:rsidRPr="009E7178">
        <w:t>;</w:t>
      </w:r>
    </w:p>
    <w:p w14:paraId="4823898D" w14:textId="4DE5823C" w:rsidR="00AF757A" w:rsidRPr="009E7178" w:rsidRDefault="00AF757A" w:rsidP="00A93E1B">
      <w:pPr>
        <w:pStyle w:val="Listlevel3"/>
      </w:pPr>
      <w:r w:rsidRPr="009E7178">
        <w:lastRenderedPageBreak/>
        <w:t xml:space="preserve">When distributing financial instruments to other </w:t>
      </w:r>
      <w:r w:rsidR="00BE47C4" w:rsidRPr="009E7178">
        <w:t xml:space="preserve">Distributors </w:t>
      </w:r>
      <w:r w:rsidRPr="009E7178">
        <w:t>(i.e. it does not have the direct client relationship), the Company shall:</w:t>
      </w:r>
    </w:p>
    <w:p w14:paraId="22F39493" w14:textId="3B13E488" w:rsidR="005C0A83" w:rsidRPr="009E7178" w:rsidRDefault="00AF757A" w:rsidP="00FB0210">
      <w:pPr>
        <w:pStyle w:val="Listlevel4"/>
      </w:pPr>
      <w:r w:rsidRPr="009E7178">
        <w:t xml:space="preserve">ensure that relevant product information is passed from the </w:t>
      </w:r>
      <w:r w:rsidR="007E2942" w:rsidRPr="009E7178">
        <w:t>Manufacturer</w:t>
      </w:r>
      <w:r w:rsidRPr="009E7178">
        <w:t xml:space="preserve"> to the final </w:t>
      </w:r>
      <w:r w:rsidR="00BE47C4" w:rsidRPr="009E7178">
        <w:t xml:space="preserve">Distributor </w:t>
      </w:r>
      <w:r w:rsidRPr="009E7178">
        <w:t>in the chain</w:t>
      </w:r>
      <w:r w:rsidR="005C0A83" w:rsidRPr="009E7178">
        <w:t>;</w:t>
      </w:r>
    </w:p>
    <w:p w14:paraId="18D49611" w14:textId="05330A74" w:rsidR="00AF757A" w:rsidRPr="009E7178" w:rsidRDefault="00AF757A" w:rsidP="00FB0210">
      <w:pPr>
        <w:pStyle w:val="Listlevel4"/>
      </w:pPr>
      <w:r w:rsidRPr="009E7178">
        <w:t xml:space="preserve">if the </w:t>
      </w:r>
      <w:r w:rsidR="007E2942" w:rsidRPr="009E7178">
        <w:t>Manufacturer</w:t>
      </w:r>
      <w:r w:rsidRPr="009E7178">
        <w:t xml:space="preserve"> requires information on product sales in order to comply with their own product governance obligations, enable them to obtain it; and </w:t>
      </w:r>
    </w:p>
    <w:p w14:paraId="2E8DB63C" w14:textId="1224BDD7" w:rsidR="00AF757A" w:rsidRPr="009E7178" w:rsidRDefault="00AF757A" w:rsidP="00FB0210">
      <w:pPr>
        <w:pStyle w:val="Listlevel4"/>
      </w:pPr>
      <w:r w:rsidRPr="009E7178">
        <w:t xml:space="preserve">in relation to the service it provides, apply the product governance obligations of </w:t>
      </w:r>
      <w:r w:rsidR="007E2942" w:rsidRPr="009E7178">
        <w:t>Manufacturer</w:t>
      </w:r>
      <w:r w:rsidRPr="009E7178">
        <w:t>s, as relevant.</w:t>
      </w:r>
    </w:p>
    <w:p w14:paraId="0D94EE25" w14:textId="6920CD7B" w:rsidR="00AF757A" w:rsidRPr="009E7178" w:rsidRDefault="00AF757A" w:rsidP="006940EA">
      <w:pPr>
        <w:pStyle w:val="Heading1"/>
        <w:numPr>
          <w:ilvl w:val="0"/>
          <w:numId w:val="4"/>
        </w:numPr>
        <w:contextualSpacing w:val="0"/>
      </w:pPr>
      <w:bookmarkStart w:id="117" w:name="_Toc137207296"/>
      <w:r w:rsidRPr="009E7178">
        <w:t>Oversight and training requirements</w:t>
      </w:r>
      <w:bookmarkEnd w:id="117"/>
      <w:r w:rsidRPr="009E7178">
        <w:t xml:space="preserve"> </w:t>
      </w:r>
    </w:p>
    <w:p w14:paraId="36F16CC2" w14:textId="05EEB2DC" w:rsidR="005C0A83" w:rsidRPr="009E7178" w:rsidRDefault="00AF757A" w:rsidP="006940EA">
      <w:pPr>
        <w:pStyle w:val="Listlevel2"/>
      </w:pPr>
      <w:r w:rsidRPr="009E7178">
        <w:t>The development, periodic review and updating of product governance arrangements must be monitored by the M</w:t>
      </w:r>
      <w:r w:rsidR="000249E8" w:rsidRPr="009E7178">
        <w:t>i</w:t>
      </w:r>
      <w:r w:rsidRPr="009E7178">
        <w:t>FID Compliance Officer in order to detect any risk of failure by the Company to comply with applicable provisions of this policy and the relevant legislation</w:t>
      </w:r>
      <w:r w:rsidR="005C0A83" w:rsidRPr="009E7178">
        <w:t>.</w:t>
      </w:r>
    </w:p>
    <w:p w14:paraId="098B2191" w14:textId="6F149C50" w:rsidR="00614B89" w:rsidRPr="009E7178" w:rsidRDefault="00AF757A" w:rsidP="006940EA">
      <w:pPr>
        <w:pStyle w:val="Listlevel2"/>
      </w:pPr>
      <w:r w:rsidRPr="009E7178">
        <w:t>The Board of Directors of the Company must have effective control over the firm’s product governance process to determine</w:t>
      </w:r>
      <w:r w:rsidR="00614B89" w:rsidRPr="009E7178">
        <w:t>:</w:t>
      </w:r>
    </w:p>
    <w:p w14:paraId="49870B82" w14:textId="77777777" w:rsidR="00AF757A" w:rsidRPr="009E7178" w:rsidRDefault="00AF757A" w:rsidP="00A93E1B">
      <w:pPr>
        <w:pStyle w:val="Listlevel3"/>
      </w:pPr>
      <w:r w:rsidRPr="009E7178">
        <w:t xml:space="preserve">the range of financial instruments the firm offers or recommends; and </w:t>
      </w:r>
    </w:p>
    <w:p w14:paraId="250A6F98" w14:textId="77777777" w:rsidR="005C0A83" w:rsidRPr="009E7178" w:rsidRDefault="00AF757A" w:rsidP="00A93E1B">
      <w:pPr>
        <w:pStyle w:val="Listlevel3"/>
      </w:pPr>
      <w:r w:rsidRPr="009E7178">
        <w:t>the investment services provided to the respective target markets</w:t>
      </w:r>
      <w:r w:rsidR="005C0A83" w:rsidRPr="009E7178">
        <w:t>.</w:t>
      </w:r>
    </w:p>
    <w:p w14:paraId="3993659C" w14:textId="5B2254E0" w:rsidR="00614B89" w:rsidRPr="009E7178" w:rsidRDefault="00396FD8" w:rsidP="006940EA">
      <w:pPr>
        <w:pStyle w:val="Listlevel2"/>
      </w:pPr>
      <w:bookmarkStart w:id="118" w:name="_Ref135330920"/>
      <w:r w:rsidRPr="009E7178">
        <w:t xml:space="preserve">Each employee of the Front Office and other </w:t>
      </w:r>
      <w:r w:rsidR="00AF757A" w:rsidRPr="009E7178">
        <w:t xml:space="preserve">relevant staff </w:t>
      </w:r>
      <w:r w:rsidRPr="009E7178">
        <w:t xml:space="preserve">of the Company </w:t>
      </w:r>
      <w:r w:rsidR="00FF6762" w:rsidRPr="009E7178">
        <w:t>involved in client categorisation, target market assessment</w:t>
      </w:r>
      <w:r w:rsidR="00C408DA" w:rsidRPr="009E7178">
        <w:t xml:space="preserve">, </w:t>
      </w:r>
      <w:r w:rsidR="00FF6762" w:rsidRPr="009E7178">
        <w:t>disclosures on financial instruments</w:t>
      </w:r>
      <w:r w:rsidR="00C408DA" w:rsidRPr="009E7178">
        <w:t xml:space="preserve">, and other </w:t>
      </w:r>
      <w:r w:rsidR="00BC799E" w:rsidRPr="009E7178">
        <w:t>matters set out in the Policy</w:t>
      </w:r>
      <w:r w:rsidR="00FF6762" w:rsidRPr="009E7178">
        <w:t xml:space="preserve"> </w:t>
      </w:r>
      <w:r w:rsidR="00AF757A" w:rsidRPr="009E7178">
        <w:t xml:space="preserve">must possess the necessary </w:t>
      </w:r>
      <w:r w:rsidR="00C408DA" w:rsidRPr="009E7178">
        <w:t xml:space="preserve">knowledge and </w:t>
      </w:r>
      <w:r w:rsidR="00AF757A" w:rsidRPr="009E7178">
        <w:t>expertise to understand</w:t>
      </w:r>
      <w:r w:rsidR="00614B89" w:rsidRPr="009E7178">
        <w:t>:</w:t>
      </w:r>
      <w:bookmarkEnd w:id="118"/>
    </w:p>
    <w:p w14:paraId="51A8DB5D" w14:textId="77777777" w:rsidR="005C0A83" w:rsidRPr="009E7178" w:rsidRDefault="00AF757A" w:rsidP="00A93E1B">
      <w:pPr>
        <w:pStyle w:val="Listlevel3"/>
      </w:pPr>
      <w:r w:rsidRPr="009E7178">
        <w:t>the characteristics and risks of the financial instruments that the firm intends to distribute</w:t>
      </w:r>
      <w:r w:rsidR="005C0A83" w:rsidRPr="009E7178">
        <w:t>;</w:t>
      </w:r>
    </w:p>
    <w:p w14:paraId="121AF383" w14:textId="209F921D" w:rsidR="00770974" w:rsidRPr="009E7178" w:rsidRDefault="00AF757A" w:rsidP="00A93E1B">
      <w:pPr>
        <w:pStyle w:val="Listlevel3"/>
      </w:pPr>
      <w:r w:rsidRPr="009E7178">
        <w:t>the investment services provided by the firm;</w:t>
      </w:r>
    </w:p>
    <w:p w14:paraId="09561478" w14:textId="5664515C" w:rsidR="00AF757A" w:rsidRPr="009E7178" w:rsidRDefault="00770974" w:rsidP="00770974">
      <w:pPr>
        <w:pStyle w:val="Listlevel3"/>
      </w:pPr>
      <w:r w:rsidRPr="009E7178">
        <w:t>client categorisation and sustainability preferences;</w:t>
      </w:r>
    </w:p>
    <w:p w14:paraId="16FCB28D" w14:textId="58C278AF" w:rsidR="00770974" w:rsidRPr="009E7178" w:rsidRDefault="00AF757A" w:rsidP="00A93E1B">
      <w:pPr>
        <w:pStyle w:val="Listlevel3"/>
      </w:pPr>
      <w:r w:rsidRPr="009E7178">
        <w:t>the needs, characteristics and objectives of the identified target market</w:t>
      </w:r>
      <w:r w:rsidR="00BC799E" w:rsidRPr="009E7178">
        <w:t>;</w:t>
      </w:r>
    </w:p>
    <w:p w14:paraId="1DF7EF81" w14:textId="7BEC3439" w:rsidR="009C13A7" w:rsidRPr="009E7178" w:rsidRDefault="009C13A7" w:rsidP="00A93E1B">
      <w:pPr>
        <w:pStyle w:val="Listlevel3"/>
      </w:pPr>
      <w:r w:rsidRPr="009E7178">
        <w:t>KIDs and other product governance disclosures;</w:t>
      </w:r>
    </w:p>
    <w:p w14:paraId="74D88937" w14:textId="716AD3EC" w:rsidR="00770974" w:rsidRPr="009E7178" w:rsidRDefault="00770974" w:rsidP="00A93E1B">
      <w:pPr>
        <w:pStyle w:val="Listlevel3"/>
      </w:pPr>
      <w:r w:rsidRPr="009E7178">
        <w:t>sustainability factors</w:t>
      </w:r>
      <w:r w:rsidR="009C13A7" w:rsidRPr="009E7178">
        <w:t xml:space="preserve"> and other ESG disclosures;</w:t>
      </w:r>
    </w:p>
    <w:p w14:paraId="18C0CF91" w14:textId="6618FC5C" w:rsidR="009C13A7" w:rsidRPr="009E7178" w:rsidRDefault="00C408DA" w:rsidP="00502B54">
      <w:pPr>
        <w:pStyle w:val="a0"/>
      </w:pPr>
      <w:r w:rsidRPr="009E7178">
        <w:t xml:space="preserve">These employees </w:t>
      </w:r>
      <w:r w:rsidR="009C13A7" w:rsidRPr="009E7178">
        <w:t>must additionally:</w:t>
      </w:r>
    </w:p>
    <w:p w14:paraId="5BE15F02" w14:textId="1C6D9B8D" w:rsidR="009C13A7" w:rsidRPr="009E7178" w:rsidRDefault="009C13A7" w:rsidP="009C13A7">
      <w:pPr>
        <w:pStyle w:val="Listlevel4"/>
      </w:pPr>
      <w:r w:rsidRPr="009E7178">
        <w:t xml:space="preserve">be able to describe in a clear and non-technical manner financial, sustainability and other  risks of financial instruments, their characteristics and target market; </w:t>
      </w:r>
    </w:p>
    <w:p w14:paraId="788B9430" w14:textId="37E7B994" w:rsidR="00502B54" w:rsidRPr="009E7178" w:rsidRDefault="00502B54" w:rsidP="009C13A7">
      <w:pPr>
        <w:pStyle w:val="Listlevel4"/>
      </w:pPr>
      <w:r w:rsidRPr="009E7178">
        <w:rPr>
          <w:iCs/>
        </w:rPr>
        <w:t>stay</w:t>
      </w:r>
      <w:r w:rsidRPr="009E7178">
        <w:rPr>
          <w:rStyle w:val="Emphasis"/>
          <w:i w:val="0"/>
          <w:lang w:val="en"/>
        </w:rPr>
        <w:t xml:space="preserve"> current with</w:t>
      </w:r>
      <w:r w:rsidRPr="009E7178">
        <w:t xml:space="preserve"> changes to product governance requirements, sustainability factors and other matters set out in the Policy.</w:t>
      </w:r>
    </w:p>
    <w:p w14:paraId="2CF96460" w14:textId="77777777" w:rsidR="005C0A83" w:rsidRPr="009E7178" w:rsidRDefault="00AF757A" w:rsidP="006940EA">
      <w:pPr>
        <w:pStyle w:val="Listlevel2"/>
      </w:pPr>
      <w:r w:rsidRPr="009E7178">
        <w:t>The Company shall ensure that the said staff members possess the necessary expertise through regular appraisals, which will be formally documented</w:t>
      </w:r>
      <w:r w:rsidR="005C0A83" w:rsidRPr="009E7178">
        <w:t>.</w:t>
      </w:r>
    </w:p>
    <w:p w14:paraId="619EFF13" w14:textId="533B820F" w:rsidR="00AF757A" w:rsidRPr="009E7178" w:rsidRDefault="00AF757A" w:rsidP="006940EA">
      <w:pPr>
        <w:pStyle w:val="Listlevel2"/>
      </w:pPr>
      <w:r w:rsidRPr="009E7178">
        <w:t xml:space="preserve">The Company shall ensure that staff (newly hired and existing staff) involved in the distribution of financial instruments possess the CySEC’s Basic </w:t>
      </w:r>
      <w:r w:rsidR="00A47A5F" w:rsidRPr="009E7178">
        <w:t xml:space="preserve">or Advanced </w:t>
      </w:r>
      <w:r w:rsidRPr="009E7178">
        <w:t>Certification and are registered in the Public Register.</w:t>
      </w:r>
    </w:p>
    <w:p w14:paraId="2BAC792F" w14:textId="77777777" w:rsidR="00AF757A" w:rsidRPr="009E7178" w:rsidRDefault="00AF757A" w:rsidP="006940EA">
      <w:pPr>
        <w:pStyle w:val="Listlevel2"/>
      </w:pPr>
      <w:r w:rsidRPr="009E7178">
        <w:t>The Company shall also ensure that staff undertake training of sufficient time and quality, on a regular as well as on a needs basis, to help staff maintain their knowledge and expertise and to further support their understanding of the policy and the relevant product governance requirements.</w:t>
      </w:r>
    </w:p>
    <w:p w14:paraId="12B1CE87" w14:textId="62DC5EE6" w:rsidR="00AF757A" w:rsidRPr="009E7178" w:rsidRDefault="00AF757A" w:rsidP="006940EA">
      <w:pPr>
        <w:pStyle w:val="Heading1"/>
        <w:numPr>
          <w:ilvl w:val="0"/>
          <w:numId w:val="4"/>
        </w:numPr>
        <w:contextualSpacing w:val="0"/>
        <w:rPr>
          <w:b w:val="0"/>
        </w:rPr>
      </w:pPr>
      <w:bookmarkStart w:id="119" w:name="_Toc137207297"/>
      <w:r w:rsidRPr="009E7178">
        <w:lastRenderedPageBreak/>
        <w:t>Compliance reports</w:t>
      </w:r>
      <w:bookmarkEnd w:id="119"/>
    </w:p>
    <w:p w14:paraId="4A4CCB56" w14:textId="77777777" w:rsidR="00AF757A" w:rsidRPr="009E7178" w:rsidRDefault="00AF757A" w:rsidP="006940EA">
      <w:pPr>
        <w:pStyle w:val="Listlevel2"/>
      </w:pPr>
      <w:r w:rsidRPr="009E7178">
        <w:t>Compliance reports that are provided within the year and at least on an annual basis to the Board of Directors must include information about the financial instruments distributed by the firm and the investment services provided. The Company will make the compliance reports available to CySEC annually and/or on request. It is stressed that the correct implementation of the product governance is responsibility of the Senior Management and the Board of Directors. The Compliance Officer also monitors the implementation of the product governance policy as part of the compliance monitoring plan.</w:t>
      </w:r>
    </w:p>
    <w:p w14:paraId="7F218837" w14:textId="27A7B031" w:rsidR="00AF757A" w:rsidRPr="009E7178" w:rsidRDefault="00AF757A" w:rsidP="006940EA">
      <w:pPr>
        <w:pStyle w:val="Heading1"/>
        <w:numPr>
          <w:ilvl w:val="0"/>
          <w:numId w:val="4"/>
        </w:numPr>
        <w:contextualSpacing w:val="0"/>
      </w:pPr>
      <w:bookmarkStart w:id="120" w:name="_Toc137207298"/>
      <w:r w:rsidRPr="009E7178">
        <w:t>Post-sale review</w:t>
      </w:r>
      <w:bookmarkEnd w:id="120"/>
    </w:p>
    <w:p w14:paraId="29BB8DE9" w14:textId="3B41AF1E" w:rsidR="00606030" w:rsidRPr="009E7178" w:rsidRDefault="00AF757A" w:rsidP="006940EA">
      <w:pPr>
        <w:pStyle w:val="Listlevel2"/>
      </w:pPr>
      <w:r w:rsidRPr="009E7178">
        <w:t>The Company’s Product Governance Committee  reviews the financial instruments they distribute and the investment services they provide</w:t>
      </w:r>
      <w:r w:rsidR="001065C0" w:rsidRPr="009E7178">
        <w:t xml:space="preserve"> at least annually and when a change/ event is occurring that </w:t>
      </w:r>
      <w:r w:rsidR="00816BDB" w:rsidRPr="009E7178">
        <w:t xml:space="preserve">materially </w:t>
      </w:r>
      <w:r w:rsidR="001065C0" w:rsidRPr="009E7178">
        <w:t>affects the product’s characteristics, cost and charges, risk profile, target market and/or distribution strategy</w:t>
      </w:r>
      <w:r w:rsidR="002869C0" w:rsidRPr="009E7178">
        <w:t xml:space="preserve">. </w:t>
      </w:r>
      <w:r w:rsidRPr="009E7178">
        <w:t>The reviewers are taking into account any event that could materially affect the potential risk to the identified target market.</w:t>
      </w:r>
      <w:r w:rsidR="007E1F1C" w:rsidRPr="009E7178">
        <w:t xml:space="preserve"> </w:t>
      </w:r>
      <w:r w:rsidRPr="009E7178">
        <w:t>The reviewers are documenting the said assessment.</w:t>
      </w:r>
    </w:p>
    <w:p w14:paraId="4473AE5A" w14:textId="33F33E67" w:rsidR="00AF757A" w:rsidRPr="009E7178" w:rsidRDefault="00606030" w:rsidP="00606030">
      <w:pPr>
        <w:pStyle w:val="a0"/>
      </w:pPr>
      <w:r w:rsidRPr="009E7178">
        <w:t>The Chief Investment Officer is responsible for following such changes and events and may make necessary urgent adjustments before a meeting of this Committee</w:t>
      </w:r>
      <w:r w:rsidR="00513544" w:rsidRPr="009E7178">
        <w:t>.</w:t>
      </w:r>
    </w:p>
    <w:p w14:paraId="24F47CA7" w14:textId="5C144785" w:rsidR="00AF757A" w:rsidRPr="009E7178" w:rsidRDefault="00AF757A" w:rsidP="006940EA">
      <w:pPr>
        <w:pStyle w:val="Listlevel2"/>
      </w:pPr>
      <w:r w:rsidRPr="009E7178">
        <w:t xml:space="preserve">The review shall include </w:t>
      </w:r>
      <w:r w:rsidR="009D7C12" w:rsidRPr="009E7178">
        <w:t xml:space="preserve">a </w:t>
      </w:r>
      <w:r w:rsidRPr="009E7178">
        <w:t xml:space="preserve">review of the product’s characteristics and risk profile, target market assessment, costs and charges and the </w:t>
      </w:r>
      <w:r w:rsidR="0063723A" w:rsidRPr="009E7178">
        <w:t>Company</w:t>
      </w:r>
      <w:r w:rsidRPr="009E7178">
        <w:t xml:space="preserve">’s distribution strategy. In carrying out the review in the above principle, the Company must assess at least: </w:t>
      </w:r>
    </w:p>
    <w:p w14:paraId="525ED0DC" w14:textId="30042D88" w:rsidR="00AF757A" w:rsidRPr="009E7178" w:rsidRDefault="00AF757A" w:rsidP="00A93E1B">
      <w:pPr>
        <w:pStyle w:val="Listlevel3"/>
      </w:pPr>
      <w:r w:rsidRPr="009E7178">
        <w:t xml:space="preserve">whether the financial instrument or investment service remains consistent with the </w:t>
      </w:r>
      <w:bookmarkStart w:id="121" w:name="_Hlk87524526"/>
      <w:r w:rsidRPr="009E7178">
        <w:t>needs, characteristics and objectives</w:t>
      </w:r>
      <w:r w:rsidR="004A3002" w:rsidRPr="009E7178">
        <w:t>, including any sustainability related objectives,</w:t>
      </w:r>
      <w:r w:rsidRPr="009E7178">
        <w:t xml:space="preserve"> </w:t>
      </w:r>
      <w:bookmarkEnd w:id="121"/>
      <w:r w:rsidRPr="009E7178">
        <w:t xml:space="preserve">of the identified target market; and </w:t>
      </w:r>
    </w:p>
    <w:p w14:paraId="0500E30D" w14:textId="77777777" w:rsidR="005C0A83" w:rsidRPr="009E7178" w:rsidRDefault="00AF757A" w:rsidP="00A93E1B">
      <w:pPr>
        <w:pStyle w:val="Listlevel3"/>
      </w:pPr>
      <w:r w:rsidRPr="009E7178">
        <w:t>whether the intended distribution strategy remains appropriate</w:t>
      </w:r>
      <w:r w:rsidR="005C0A83" w:rsidRPr="009E7178">
        <w:t>.</w:t>
      </w:r>
    </w:p>
    <w:p w14:paraId="356DDD96" w14:textId="11A60FD6" w:rsidR="00614B89" w:rsidRPr="009E7178" w:rsidRDefault="00AF757A" w:rsidP="006940EA">
      <w:pPr>
        <w:pStyle w:val="Listlevel2"/>
      </w:pPr>
      <w:r w:rsidRPr="009E7178">
        <w:t>If the Company becomes aware that it has wrongly identified the target market for a specific financial instrument or investment service, or the financial instrument or investment service no longer meets the circumstances of the identified target market, it must take appropriate steps, including at least</w:t>
      </w:r>
      <w:r w:rsidR="00614B89" w:rsidRPr="009E7178">
        <w:t>:</w:t>
      </w:r>
    </w:p>
    <w:p w14:paraId="60F3CF51" w14:textId="77777777" w:rsidR="00AF757A" w:rsidRPr="009E7178" w:rsidRDefault="00AF757A" w:rsidP="00A93E1B">
      <w:pPr>
        <w:pStyle w:val="Listlevel3"/>
      </w:pPr>
      <w:r w:rsidRPr="009E7178">
        <w:t xml:space="preserve">reconsidering the target market; and/or </w:t>
      </w:r>
    </w:p>
    <w:p w14:paraId="046543AD" w14:textId="77777777" w:rsidR="00AF757A" w:rsidRPr="009E7178" w:rsidRDefault="00AF757A" w:rsidP="00A93E1B">
      <w:pPr>
        <w:pStyle w:val="Listlevel3"/>
      </w:pPr>
      <w:r w:rsidRPr="009E7178">
        <w:t>updating its product governance arrangements.</w:t>
      </w:r>
    </w:p>
    <w:p w14:paraId="3BE1F0E1" w14:textId="77777777" w:rsidR="00AF757A" w:rsidRPr="009E7178" w:rsidRDefault="00AF757A" w:rsidP="006940EA">
      <w:pPr>
        <w:pStyle w:val="Listlevel2"/>
      </w:pPr>
      <w:r w:rsidRPr="009E7178">
        <w:t xml:space="preserve">The Company may need to take action under the above principle in circumstances where the financial instrument </w:t>
      </w:r>
      <w:r w:rsidRPr="009E7178">
        <w:rPr>
          <w:b/>
        </w:rPr>
        <w:t>becomes very illiquid or very volatile</w:t>
      </w:r>
      <w:r w:rsidRPr="009E7178">
        <w:t xml:space="preserve"> due to market changes.</w:t>
      </w:r>
    </w:p>
    <w:p w14:paraId="0DE6C41E" w14:textId="2ABA330D" w:rsidR="005C0A83" w:rsidRPr="009E7178" w:rsidRDefault="00AF757A" w:rsidP="006940EA">
      <w:pPr>
        <w:pStyle w:val="Listlevel2"/>
      </w:pPr>
      <w:r w:rsidRPr="009E7178">
        <w:rPr>
          <w:bCs/>
        </w:rPr>
        <w:t>The</w:t>
      </w:r>
      <w:r w:rsidRPr="009E7178">
        <w:t xml:space="preserve"> Product Analysis and Review Form (attached as “</w:t>
      </w:r>
      <w:r w:rsidRPr="009E7178">
        <w:rPr>
          <w:b/>
        </w:rPr>
        <w:t>Appendix 2</w:t>
      </w:r>
      <w:r w:rsidRPr="009E7178">
        <w:t xml:space="preserve">”) shall be completed by the Chairman of the Committee, following a relevant meeting and resolution of the Committee, and approved by the Board of Directors every time a product offered/distributed by the Company is assessed/reviewed. The Company shall keep records of such Form/reviews and shall provide such records to the </w:t>
      </w:r>
      <w:r w:rsidR="0063723A" w:rsidRPr="009E7178">
        <w:t>Company</w:t>
      </w:r>
      <w:r w:rsidRPr="009E7178">
        <w:t>’s Internal Auditor and/or CySEC, if requested</w:t>
      </w:r>
      <w:r w:rsidR="005C0A83" w:rsidRPr="009E7178">
        <w:t>.</w:t>
      </w:r>
    </w:p>
    <w:p w14:paraId="481D7172" w14:textId="1A1049CE" w:rsidR="00AF757A" w:rsidRPr="009E7178" w:rsidRDefault="00AF757A" w:rsidP="006940EA">
      <w:pPr>
        <w:pStyle w:val="Heading1"/>
        <w:numPr>
          <w:ilvl w:val="0"/>
          <w:numId w:val="4"/>
        </w:numPr>
        <w:contextualSpacing w:val="0"/>
        <w:rPr>
          <w:b w:val="0"/>
        </w:rPr>
      </w:pPr>
      <w:bookmarkStart w:id="122" w:name="_Toc137207299"/>
      <w:r w:rsidRPr="009E7178">
        <w:t>Review of the Policy</w:t>
      </w:r>
      <w:bookmarkEnd w:id="122"/>
    </w:p>
    <w:p w14:paraId="2C95F6C9" w14:textId="2D9070F9" w:rsidR="00AF757A" w:rsidRPr="009E7178" w:rsidRDefault="00AF757A" w:rsidP="006940EA">
      <w:pPr>
        <w:pStyle w:val="Listlevel2"/>
      </w:pPr>
      <w:r w:rsidRPr="009E7178">
        <w:t xml:space="preserve">The Policy of the Company was developed in accordance with </w:t>
      </w:r>
      <w:r w:rsidR="009D7C12" w:rsidRPr="009E7178">
        <w:t xml:space="preserve">the </w:t>
      </w:r>
      <w:r w:rsidR="00E85E8F" w:rsidRPr="009E7178">
        <w:t xml:space="preserve">legal framework </w:t>
      </w:r>
      <w:r w:rsidR="009D7C12" w:rsidRPr="009E7178">
        <w:t xml:space="preserve">as </w:t>
      </w:r>
      <w:r w:rsidR="00E85E8F" w:rsidRPr="009E7178">
        <w:t>set out in Section </w:t>
      </w:r>
      <w:r w:rsidR="00E85E8F" w:rsidRPr="009E7178">
        <w:fldChar w:fldCharType="begin"/>
      </w:r>
      <w:r w:rsidR="00E85E8F" w:rsidRPr="009E7178">
        <w:instrText xml:space="preserve"> REF _Ref131682297 \r \h </w:instrText>
      </w:r>
      <w:r w:rsidR="009E7178">
        <w:instrText xml:space="preserve"> \* MERGEFORMAT </w:instrText>
      </w:r>
      <w:r w:rsidR="00E85E8F" w:rsidRPr="009E7178">
        <w:fldChar w:fldCharType="separate"/>
      </w:r>
      <w:r w:rsidR="000E7C0F">
        <w:t>3</w:t>
      </w:r>
      <w:r w:rsidR="00E85E8F" w:rsidRPr="009E7178">
        <w:fldChar w:fldCharType="end"/>
      </w:r>
      <w:r w:rsidRPr="009E7178">
        <w:t>.</w:t>
      </w:r>
    </w:p>
    <w:p w14:paraId="102944BB" w14:textId="7ECA8461" w:rsidR="00AF757A" w:rsidRPr="009E7178" w:rsidRDefault="00AF757A" w:rsidP="006940EA">
      <w:pPr>
        <w:pStyle w:val="Listlevel2"/>
      </w:pPr>
      <w:r w:rsidRPr="009E7178">
        <w:lastRenderedPageBreak/>
        <w:t xml:space="preserve">The Policy shall be reviewed by the Company’s compliance function, as part of the Annual Compliance plan. The Compliance Plan should include </w:t>
      </w:r>
      <w:r w:rsidR="009D7C12" w:rsidRPr="009E7178">
        <w:t xml:space="preserve">a </w:t>
      </w:r>
      <w:r w:rsidRPr="009E7178">
        <w:t>review on at least an annual basis, as well as on an ad-hoc basis where necessary in order for the Policy to remain robust and fit for its purpose and/ or in order to reflect any updates in the applicable requirements.</w:t>
      </w:r>
    </w:p>
    <w:p w14:paraId="1A3E66E5" w14:textId="77777777" w:rsidR="00AF757A" w:rsidRPr="009E7178" w:rsidRDefault="00AF757A" w:rsidP="006940EA">
      <w:pPr>
        <w:pStyle w:val="Listlevel2"/>
      </w:pPr>
      <w:r w:rsidRPr="009E7178">
        <w:t>Following such review, the Policy shall be approved by the Board of Directors and shall be distributed to the employees involved in the distribution of financial instruments.</w:t>
      </w:r>
    </w:p>
    <w:p w14:paraId="66FE1211" w14:textId="77777777" w:rsidR="00AF757A" w:rsidRPr="009E7178" w:rsidRDefault="00AF757A" w:rsidP="00095D42">
      <w:pPr>
        <w:rPr>
          <w:rFonts w:eastAsiaTheme="minorHAnsi" w:cs="Times New Roman"/>
          <w:snapToGrid/>
        </w:rPr>
      </w:pPr>
    </w:p>
    <w:p w14:paraId="3C07FCD4" w14:textId="77777777" w:rsidR="00AF757A" w:rsidRPr="009E7178" w:rsidRDefault="00AF757A" w:rsidP="00095D42">
      <w:pPr>
        <w:rPr>
          <w:rFonts w:eastAsiaTheme="minorHAnsi" w:cs="Times New Roman"/>
          <w:snapToGrid/>
        </w:rPr>
      </w:pPr>
    </w:p>
    <w:p w14:paraId="197B2503" w14:textId="77777777" w:rsidR="00AF757A" w:rsidRPr="009E7178" w:rsidRDefault="00AF757A" w:rsidP="00406C6E">
      <w:pPr>
        <w:keepNext/>
        <w:pageBreakBefore/>
        <w:autoSpaceDE w:val="0"/>
        <w:autoSpaceDN w:val="0"/>
        <w:adjustRightInd w:val="0"/>
        <w:rPr>
          <w:rFonts w:eastAsiaTheme="minorHAnsi" w:cs="Times New Roman"/>
          <w:b/>
          <w:snapToGrid/>
          <w:szCs w:val="22"/>
        </w:rPr>
      </w:pPr>
      <w:r w:rsidRPr="009E7178">
        <w:rPr>
          <w:rFonts w:eastAsiaTheme="minorHAnsi" w:cs="Times New Roman"/>
          <w:b/>
          <w:snapToGrid/>
          <w:szCs w:val="22"/>
        </w:rPr>
        <w:lastRenderedPageBreak/>
        <w:t>Appendices:</w:t>
      </w:r>
    </w:p>
    <w:p w14:paraId="2447AF52" w14:textId="77777777" w:rsidR="00AF757A" w:rsidRPr="009E7178" w:rsidRDefault="00AF757A" w:rsidP="00095D42">
      <w:pPr>
        <w:rPr>
          <w:rFonts w:eastAsiaTheme="minorHAnsi" w:cs="Times New Roman"/>
          <w:snapToGrid/>
        </w:rPr>
      </w:pPr>
      <w:bookmarkStart w:id="123" w:name="_Hlk114577077"/>
      <w:r w:rsidRPr="009E7178">
        <w:rPr>
          <w:rFonts w:eastAsiaTheme="minorHAnsi" w:cs="Times New Roman"/>
          <w:snapToGrid/>
        </w:rPr>
        <w:t>Appendix No 1 “Product Description Forms”</w:t>
      </w:r>
      <w:bookmarkEnd w:id="123"/>
      <w:r w:rsidRPr="009E7178">
        <w:rPr>
          <w:rFonts w:eastAsiaTheme="minorHAnsi" w:cs="Times New Roman"/>
          <w:snapToGrid/>
        </w:rPr>
        <w:t>;</w:t>
      </w:r>
    </w:p>
    <w:p w14:paraId="6D1D9E59" w14:textId="77777777" w:rsidR="00AF757A" w:rsidRPr="009E7178" w:rsidRDefault="00AF757A" w:rsidP="00095D42">
      <w:pPr>
        <w:rPr>
          <w:rFonts w:eastAsiaTheme="minorHAnsi" w:cs="Times New Roman"/>
          <w:snapToGrid/>
        </w:rPr>
      </w:pPr>
      <w:r w:rsidRPr="009E7178">
        <w:rPr>
          <w:rFonts w:eastAsiaTheme="minorHAnsi" w:cs="Times New Roman"/>
          <w:snapToGrid/>
        </w:rPr>
        <w:t>Appendix No 2 “Product Analysis and Review Form”.</w:t>
      </w:r>
    </w:p>
    <w:p w14:paraId="646479B7" w14:textId="42E79465" w:rsidR="00FF4527" w:rsidRPr="00A93E1B" w:rsidRDefault="00AF757A" w:rsidP="00AF757A">
      <w:pPr>
        <w:rPr>
          <w:rFonts w:cs="Times New Roman"/>
        </w:rPr>
      </w:pPr>
      <w:r w:rsidRPr="009E7178">
        <w:rPr>
          <w:rFonts w:eastAsiaTheme="minorHAnsi" w:cs="Times New Roman"/>
          <w:bCs/>
        </w:rPr>
        <w:t xml:space="preserve">These Appendixes form </w:t>
      </w:r>
      <w:hyperlink r:id="rId7" w:history="1">
        <w:r w:rsidRPr="009E7178">
          <w:rPr>
            <w:rFonts w:eastAsiaTheme="minorHAnsi" w:cs="Times New Roman"/>
            <w:bCs/>
          </w:rPr>
          <w:t>an integral part of</w:t>
        </w:r>
      </w:hyperlink>
      <w:r w:rsidRPr="009E7178">
        <w:rPr>
          <w:rFonts w:eastAsiaTheme="minorHAnsi" w:cs="Times New Roman"/>
          <w:bCs/>
        </w:rPr>
        <w:t xml:space="preserve"> the Product Governance Policy and are published as separate files on the Company’s website</w:t>
      </w:r>
      <w:r w:rsidR="000E7C0F">
        <w:rPr>
          <w:rFonts w:eastAsiaTheme="minorHAnsi" w:cs="Times New Roman"/>
          <w:bCs/>
        </w:rPr>
        <w:t>.</w:t>
      </w:r>
    </w:p>
    <w:sectPr w:rsidR="00FF4527" w:rsidRPr="00A93E1B" w:rsidSect="008637BB">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68E1" w16cex:dateUtc="2023-01-30T14:03:00Z"/>
  <w16cex:commentExtensible w16cex:durableId="28074778" w16cex:dateUtc="2023-05-11T07:52:00Z"/>
  <w16cex:commentExtensible w16cex:durableId="2782D7AB" w16cex:dateUtc="2023-01-30T21:56:00Z"/>
  <w16cex:commentExtensible w16cex:durableId="28076981" w16cex:dateUtc="2023-05-11T10:17:00Z"/>
  <w16cex:commentExtensible w16cex:durableId="2782BE1A" w16cex:dateUtc="2023-01-30T20:07:00Z"/>
  <w16cex:commentExtensible w16cex:durableId="2782CCD3" w16cex:dateUtc="2023-01-30T21:10:00Z"/>
  <w16cex:commentExtensible w16cex:durableId="2782CF65" w16cex:dateUtc="2023-01-30T21:21:00Z"/>
  <w16cex:commentExtensible w16cex:durableId="2782CD5E" w16cex:dateUtc="2023-01-30T21:12:00Z"/>
  <w16cex:commentExtensible w16cex:durableId="2774E511" w16cex:dateUtc="2023-01-20T08:01:00Z"/>
  <w16cex:commentExtensible w16cex:durableId="28076FC4" w16cex:dateUtc="2023-05-11T10:44:00Z"/>
  <w16cex:commentExtensible w16cex:durableId="280748BF" w16cex:dateUtc="2023-05-11T07:58:00Z"/>
  <w16cex:commentExtensible w16cex:durableId="280771A7" w16cex:dateUtc="2023-05-11T10:52:00Z"/>
  <w16cex:commentExtensible w16cex:durableId="280778FB" w16cex:dateUtc="2023-05-11T11:23:00Z"/>
  <w16cex:commentExtensible w16cex:durableId="28077FCE" w16cex:dateUtc="2023-05-11T11:53:00Z"/>
  <w16cex:commentExtensible w16cex:durableId="280780BD" w16cex:dateUtc="2023-05-11T11:57:00Z"/>
  <w16cex:commentExtensible w16cex:durableId="28078860" w16cex:dateUtc="2023-05-11T12:29:00Z"/>
  <w16cex:commentExtensible w16cex:durableId="28078887" w16cex:dateUtc="2023-05-11T12:30:00Z"/>
  <w16cex:commentExtensible w16cex:durableId="28060BE4" w16cex:dateUtc="2023-05-10T09:26:00Z"/>
  <w16cex:commentExtensible w16cex:durableId="26FA90D6" w16cex:dateUtc="2022-10-19T12:05:00Z"/>
  <w16cex:commentExtensible w16cex:durableId="28060D7B" w16cex:dateUtc="2023-05-10T09:32:00Z"/>
  <w16cex:commentExtensible w16cex:durableId="28060D6F" w16cex:dateUtc="2023-05-10T09:32:00Z"/>
  <w16cex:commentExtensible w16cex:durableId="26FA93D8" w16cex:dateUtc="2022-10-19T12:18:00Z"/>
  <w16cex:commentExtensible w16cex:durableId="28060E57" w16cex:dateUtc="2023-05-10T09:36:00Z"/>
  <w16cex:commentExtensible w16cex:durableId="28079B0B" w16cex:dateUtc="2023-05-11T13:49:00Z"/>
  <w16cex:commentExtensible w16cex:durableId="2807A782" w16cex:dateUtc="2023-05-11T14:42:00Z"/>
  <w16cex:commentExtensible w16cex:durableId="28060F6F" w16cex:dateUtc="2023-05-10T09:41:00Z"/>
  <w16cex:commentExtensible w16cex:durableId="26FA9438" w16cex:dateUtc="2022-10-19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35223" w16cid:durableId="280366B8"/>
  <w16cid:commentId w16cid:paraId="6294ECC8" w16cid:durableId="280366B9"/>
  <w16cid:commentId w16cid:paraId="0C2185BD" w16cid:durableId="277262B4"/>
  <w16cid:commentId w16cid:paraId="110BD369" w16cid:durableId="278268E1"/>
  <w16cid:commentId w16cid:paraId="199EC6E1" w16cid:durableId="280366BC"/>
  <w16cid:commentId w16cid:paraId="09E82221" w16cid:durableId="280366BD"/>
  <w16cid:commentId w16cid:paraId="2B16DE48" w16cid:durableId="28074778"/>
  <w16cid:commentId w16cid:paraId="423B6AD3" w16cid:durableId="2782D7AB"/>
  <w16cid:commentId w16cid:paraId="7FAB1A85" w16cid:durableId="28076981"/>
  <w16cid:commentId w16cid:paraId="1D5B6E58" w16cid:durableId="280366BF"/>
  <w16cid:commentId w16cid:paraId="57A4D7F2" w16cid:durableId="280366C0"/>
  <w16cid:commentId w16cid:paraId="69FD3EAC" w16cid:durableId="280366C1"/>
  <w16cid:commentId w16cid:paraId="5E33E14A" w16cid:durableId="280366C2"/>
  <w16cid:commentId w16cid:paraId="1B22BF81" w16cid:durableId="280366C3"/>
  <w16cid:commentId w16cid:paraId="579CD217" w16cid:durableId="280366C4"/>
  <w16cid:commentId w16cid:paraId="695CBABF" w16cid:durableId="280366C5"/>
  <w16cid:commentId w16cid:paraId="088597F2" w16cid:durableId="280366C6"/>
  <w16cid:commentId w16cid:paraId="4BD8C5B6" w16cid:durableId="2782BE1A"/>
  <w16cid:commentId w16cid:paraId="6149D1A4" w16cid:durableId="2782CCD3"/>
  <w16cid:commentId w16cid:paraId="693B7979" w16cid:durableId="2782CF65"/>
  <w16cid:commentId w16cid:paraId="1B9636C7" w16cid:durableId="26FA6AA4"/>
  <w16cid:commentId w16cid:paraId="3EE744BF" w16cid:durableId="2782CD5E"/>
  <w16cid:commentId w16cid:paraId="4DB4A47A" w16cid:durableId="2774E511"/>
  <w16cid:commentId w16cid:paraId="25EAD61F" w16cid:durableId="28076FC4"/>
  <w16cid:commentId w16cid:paraId="1B3153E7" w16cid:durableId="280366CD"/>
  <w16cid:commentId w16cid:paraId="2F4CA35F" w16cid:durableId="280748BF"/>
  <w16cid:commentId w16cid:paraId="2C4F43D6" w16cid:durableId="280771A7"/>
  <w16cid:commentId w16cid:paraId="2CB8E948" w16cid:durableId="280778FB"/>
  <w16cid:commentId w16cid:paraId="3DA5D7C6" w16cid:durableId="28077FCE"/>
  <w16cid:commentId w16cid:paraId="07EB96EC" w16cid:durableId="280780BD"/>
  <w16cid:commentId w16cid:paraId="6CC02AA9" w16cid:durableId="26FA6AA5"/>
  <w16cid:commentId w16cid:paraId="23318258" w16cid:durableId="26FA6AA6"/>
  <w16cid:commentId w16cid:paraId="3D6221A4" w16cid:durableId="26FA6AA7"/>
  <w16cid:commentId w16cid:paraId="1794CC7F" w16cid:durableId="28078860"/>
  <w16cid:commentId w16cid:paraId="2484948F" w16cid:durableId="28078887"/>
  <w16cid:commentId w16cid:paraId="3BF2FDDB" w16cid:durableId="280366D1"/>
  <w16cid:commentId w16cid:paraId="5D94122D" w16cid:durableId="280366D2"/>
  <w16cid:commentId w16cid:paraId="65B5E6AE" w16cid:durableId="280366D3"/>
  <w16cid:commentId w16cid:paraId="7BB614A0" w16cid:durableId="28060BE4"/>
  <w16cid:commentId w16cid:paraId="78B168D7" w16cid:durableId="26FA6AA8"/>
  <w16cid:commentId w16cid:paraId="7990FDAA" w16cid:durableId="26FA6AA9"/>
  <w16cid:commentId w16cid:paraId="490FFF42" w16cid:durableId="26FA6AAA"/>
  <w16cid:commentId w16cid:paraId="7306A63F" w16cid:durableId="26FA6AAB"/>
  <w16cid:commentId w16cid:paraId="2E54797F" w16cid:durableId="26FA90D6"/>
  <w16cid:commentId w16cid:paraId="5AD799ED" w16cid:durableId="26FA6AAC"/>
  <w16cid:commentId w16cid:paraId="05C06A43" w16cid:durableId="26FA6AAD"/>
  <w16cid:commentId w16cid:paraId="7664E13A" w16cid:durableId="26FA6AAE"/>
  <w16cid:commentId w16cid:paraId="6EC42B3B" w16cid:durableId="280366DC"/>
  <w16cid:commentId w16cid:paraId="15CC9D2C" w16cid:durableId="28060D7B"/>
  <w16cid:commentId w16cid:paraId="527D5677" w16cid:durableId="26FA6AAF"/>
  <w16cid:commentId w16cid:paraId="490A0FB5" w16cid:durableId="26FA6AB0"/>
  <w16cid:commentId w16cid:paraId="58BE7D0E" w16cid:durableId="280366DF"/>
  <w16cid:commentId w16cid:paraId="11281725" w16cid:durableId="280366E0"/>
  <w16cid:commentId w16cid:paraId="456FE1B6" w16cid:durableId="28060D6F"/>
  <w16cid:commentId w16cid:paraId="5CCD670D" w16cid:durableId="26FA6AB1"/>
  <w16cid:commentId w16cid:paraId="19D24992" w16cid:durableId="26FA6AB2"/>
  <w16cid:commentId w16cid:paraId="34C6E134" w16cid:durableId="26FA93D8"/>
  <w16cid:commentId w16cid:paraId="50CA2373" w16cid:durableId="280366E4"/>
  <w16cid:commentId w16cid:paraId="478B637A" w16cid:durableId="28060E57"/>
  <w16cid:commentId w16cid:paraId="41CBCDD7" w16cid:durableId="280366E5"/>
  <w16cid:commentId w16cid:paraId="6CDC93B6" w16cid:durableId="280366E6"/>
  <w16cid:commentId w16cid:paraId="3BCA028F" w16cid:durableId="280366E7"/>
  <w16cid:commentId w16cid:paraId="00E6BE4A" w16cid:durableId="28079B0B"/>
  <w16cid:commentId w16cid:paraId="0897AC71" w16cid:durableId="2807A782"/>
  <w16cid:commentId w16cid:paraId="4EF7524F" w16cid:durableId="26FA6AB3"/>
  <w16cid:commentId w16cid:paraId="0C379424" w16cid:durableId="280366E9"/>
  <w16cid:commentId w16cid:paraId="44FF2B20" w16cid:durableId="28060F6F"/>
  <w16cid:commentId w16cid:paraId="7F17577C" w16cid:durableId="26FA6AB4"/>
  <w16cid:commentId w16cid:paraId="024245BF" w16cid:durableId="26FA94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D5E2" w14:textId="77777777" w:rsidR="00BC799E" w:rsidRDefault="00BC799E" w:rsidP="00224764">
      <w:r>
        <w:separator/>
      </w:r>
    </w:p>
  </w:endnote>
  <w:endnote w:type="continuationSeparator" w:id="0">
    <w:p w14:paraId="7B6E8549" w14:textId="77777777" w:rsidR="00BC799E" w:rsidRDefault="00BC799E" w:rsidP="00224764">
      <w:r>
        <w:continuationSeparator/>
      </w:r>
    </w:p>
  </w:endnote>
  <w:endnote w:type="continuationNotice" w:id="1">
    <w:p w14:paraId="51E243F8" w14:textId="77777777" w:rsidR="00BC799E" w:rsidRDefault="00BC7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E7B2" w14:textId="77777777" w:rsidR="00BC799E" w:rsidRDefault="00BC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2" w:type="dxa"/>
      <w:tblLook w:val="04A0" w:firstRow="1" w:lastRow="0" w:firstColumn="1" w:lastColumn="0" w:noHBand="0" w:noVBand="1"/>
    </w:tblPr>
    <w:tblGrid>
      <w:gridCol w:w="6658"/>
      <w:gridCol w:w="3265"/>
    </w:tblGrid>
    <w:tr w:rsidR="00BC799E" w:rsidRPr="00BB1FB7" w14:paraId="761468D1" w14:textId="77777777" w:rsidTr="00CB40A6">
      <w:tc>
        <w:tcPr>
          <w:tcW w:w="6658" w:type="dxa"/>
        </w:tcPr>
        <w:p w14:paraId="40AE1830" w14:textId="00F18A41" w:rsidR="00BC799E" w:rsidRPr="00BB1FB7" w:rsidRDefault="00BC799E"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226A77FA" w14:textId="77777777" w:rsidR="00BC799E" w:rsidRPr="00BB1FB7" w:rsidRDefault="00BC799E"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1EF75C5C" w14:textId="10260D1D" w:rsidR="00BC799E" w:rsidRPr="00BB1FB7" w:rsidRDefault="00BC799E" w:rsidP="00B05C0B">
          <w:pPr>
            <w:pStyle w:val="Footer"/>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265" w:type="dxa"/>
        </w:tcPr>
        <w:p w14:paraId="6DDEE84B" w14:textId="48409390" w:rsidR="00BC799E" w:rsidRPr="00BB1FB7" w:rsidRDefault="00BC799E"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4D7128C4" w14:textId="4D0E976C" w:rsidR="00BC799E" w:rsidRPr="00BB1FB7" w:rsidRDefault="00BC799E"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129EEDC5" w14:textId="454FDA38" w:rsidR="00BC799E" w:rsidRPr="00BB1FB7" w:rsidRDefault="00BC799E" w:rsidP="00F34EC4">
          <w:pPr>
            <w:pStyle w:val="Footer"/>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61D77793" w14:textId="2C477E4C" w:rsidR="00BC799E" w:rsidRPr="00BB1FB7" w:rsidRDefault="00BC799E" w:rsidP="00C724EE">
    <w:pPr>
      <w:pStyle w:val="Footer"/>
      <w:rPr>
        <w:rFonts w:ascii="Cambria" w:hAnsi="Cambria"/>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0349" w14:textId="77777777" w:rsidR="00BC799E" w:rsidRDefault="00BC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506E" w14:textId="77777777" w:rsidR="00BC799E" w:rsidRDefault="00BC799E" w:rsidP="00224764">
      <w:r>
        <w:separator/>
      </w:r>
    </w:p>
  </w:footnote>
  <w:footnote w:type="continuationSeparator" w:id="0">
    <w:p w14:paraId="7C045F8A" w14:textId="77777777" w:rsidR="00BC799E" w:rsidRDefault="00BC799E" w:rsidP="00224764">
      <w:r>
        <w:continuationSeparator/>
      </w:r>
    </w:p>
  </w:footnote>
  <w:footnote w:type="continuationNotice" w:id="1">
    <w:p w14:paraId="01F2955C" w14:textId="77777777" w:rsidR="00BC799E" w:rsidRDefault="00BC799E">
      <w:pPr>
        <w:spacing w:after="0" w:line="240" w:lineRule="auto"/>
      </w:pPr>
    </w:p>
  </w:footnote>
  <w:footnote w:id="2">
    <w:p w14:paraId="6752ED57" w14:textId="77777777" w:rsidR="00BC799E" w:rsidRDefault="00BC799E" w:rsidP="0054668B">
      <w:pPr>
        <w:pStyle w:val="FootnoteText"/>
      </w:pPr>
      <w:r>
        <w:rPr>
          <w:rStyle w:val="FootnoteReference"/>
        </w:rPr>
        <w:footnoteRef/>
      </w:r>
      <w:r>
        <w:t xml:space="preserve"> </w:t>
      </w:r>
      <w:hyperlink r:id="rId1" w:history="1">
        <w:r w:rsidRPr="00622A06">
          <w:rPr>
            <w:rStyle w:val="Hyperlink"/>
          </w:rPr>
          <w:t>https://www.cysec.gov.cy/CMSPages/GetFile.aspx?guid=84461d00-a4b8-49ad-9a94-58458f2216f6</w:t>
        </w:r>
      </w:hyperlink>
      <w:r>
        <w:t xml:space="preserve">; </w:t>
      </w:r>
      <w:hyperlink r:id="rId2" w:history="1">
        <w:r w:rsidRPr="00622A06">
          <w:rPr>
            <w:rStyle w:val="Hyperlink"/>
          </w:rPr>
          <w:t>https://www.cysec.gov.cy/CMSPages/GetFile.aspx?guid=930fab24-af80-4736-81be-7508c9dc12e4</w:t>
        </w:r>
      </w:hyperlink>
      <w:r>
        <w:t xml:space="preserve"> (only in Greek)</w:t>
      </w:r>
    </w:p>
  </w:footnote>
  <w:footnote w:id="3">
    <w:p w14:paraId="736820B5" w14:textId="77777777" w:rsidR="00BC799E" w:rsidRDefault="00BC799E">
      <w:pPr>
        <w:pStyle w:val="FootnoteText"/>
      </w:pPr>
      <w:r>
        <w:rPr>
          <w:rStyle w:val="FootnoteReference"/>
        </w:rPr>
        <w:footnoteRef/>
      </w:r>
      <w:r>
        <w:t xml:space="preserve"> </w:t>
      </w:r>
      <w:hyperlink r:id="rId3" w:history="1">
        <w:r w:rsidRPr="00E91733">
          <w:rPr>
            <w:rStyle w:val="Hyperlink"/>
          </w:rPr>
          <w:t>https://www.esma.europa.eu/sites/default/files/2023-03/ESMA35-43-3448_Final_report_on_MiFID_II_guidelines_on_product_governance.pdf</w:t>
        </w:r>
      </w:hyperlink>
    </w:p>
  </w:footnote>
  <w:footnote w:id="4">
    <w:p w14:paraId="0B14075A" w14:textId="00856D5A" w:rsidR="00BC799E" w:rsidRDefault="00BC799E">
      <w:pPr>
        <w:pStyle w:val="FootnoteText"/>
      </w:pPr>
      <w:r>
        <w:rPr>
          <w:rStyle w:val="FootnoteReference"/>
        </w:rPr>
        <w:footnoteRef/>
      </w:r>
      <w:r>
        <w:t xml:space="preserve"> </w:t>
      </w:r>
      <w:hyperlink r:id="rId4" w:history="1">
        <w:r w:rsidRPr="00E91733">
          <w:rPr>
            <w:rStyle w:val="Hyperlink"/>
          </w:rPr>
          <w:t>https://www.cysec.gov.cy/en-GB/legislation/services-markets/epey/</w:t>
        </w:r>
      </w:hyperlink>
    </w:p>
  </w:footnote>
  <w:footnote w:id="5">
    <w:p w14:paraId="7CBBB47D" w14:textId="77777777" w:rsidR="00BC799E" w:rsidRDefault="00BC799E">
      <w:pPr>
        <w:pStyle w:val="FootnoteText"/>
      </w:pPr>
      <w:r>
        <w:rPr>
          <w:rStyle w:val="FootnoteReference"/>
        </w:rPr>
        <w:footnoteRef/>
      </w:r>
      <w:r>
        <w:t xml:space="preserve"> </w:t>
      </w:r>
      <w:hyperlink r:id="rId5" w:history="1">
        <w:r w:rsidRPr="00622A06">
          <w:rPr>
            <w:rStyle w:val="Hyperlink"/>
          </w:rPr>
          <w:t>https://eur-lex.europa.eu/eli/dir_del/2017/593</w:t>
        </w:r>
      </w:hyperlink>
    </w:p>
  </w:footnote>
  <w:footnote w:id="6">
    <w:p w14:paraId="48081F9D" w14:textId="77777777" w:rsidR="00BC799E" w:rsidRPr="00DF1428" w:rsidRDefault="00BC799E">
      <w:pPr>
        <w:pStyle w:val="FootnoteText"/>
        <w:rPr>
          <w:lang w:val="ru-RU"/>
        </w:rPr>
      </w:pPr>
      <w:r>
        <w:rPr>
          <w:rStyle w:val="FootnoteReference"/>
        </w:rPr>
        <w:footnoteRef/>
      </w:r>
      <w:r>
        <w:t xml:space="preserve"> </w:t>
      </w:r>
      <w:hyperlink r:id="rId6" w:history="1">
        <w:r w:rsidRPr="00622A06">
          <w:rPr>
            <w:rStyle w:val="Hyperlink"/>
          </w:rPr>
          <w:t>https://eur-lex.europa.eu/eli/dir/2014/65</w:t>
        </w:r>
      </w:hyperlink>
    </w:p>
  </w:footnote>
  <w:footnote w:id="7">
    <w:p w14:paraId="7AB19BC7" w14:textId="4B0441FB" w:rsidR="00BC799E" w:rsidRPr="00FE4901" w:rsidRDefault="00BC799E">
      <w:pPr>
        <w:pStyle w:val="FootnoteText"/>
        <w:rPr>
          <w:lang w:val="ru-RU"/>
        </w:rPr>
      </w:pPr>
      <w:r>
        <w:rPr>
          <w:rStyle w:val="FootnoteReference"/>
        </w:rPr>
        <w:footnoteRef/>
      </w:r>
      <w:r w:rsidRPr="00FE4901">
        <w:rPr>
          <w:lang w:val="ru-RU"/>
        </w:rPr>
        <w:t xml:space="preserve"> </w:t>
      </w:r>
      <w:hyperlink r:id="rId7" w:history="1">
        <w:r w:rsidRPr="00E91733">
          <w:rPr>
            <w:rStyle w:val="Hyperlink"/>
          </w:rPr>
          <w:t>https</w:t>
        </w:r>
        <w:r w:rsidRPr="00FE4901">
          <w:rPr>
            <w:rStyle w:val="Hyperlink"/>
            <w:lang w:val="ru-RU"/>
          </w:rPr>
          <w:t>://</w:t>
        </w:r>
        <w:r w:rsidRPr="00E91733">
          <w:rPr>
            <w:rStyle w:val="Hyperlink"/>
          </w:rPr>
          <w:t>eur</w:t>
        </w:r>
        <w:r w:rsidRPr="00FE4901">
          <w:rPr>
            <w:rStyle w:val="Hyperlink"/>
            <w:lang w:val="ru-RU"/>
          </w:rPr>
          <w:t>-</w:t>
        </w:r>
        <w:r w:rsidRPr="00E91733">
          <w:rPr>
            <w:rStyle w:val="Hyperlink"/>
          </w:rPr>
          <w:t>lex</w:t>
        </w:r>
        <w:r w:rsidRPr="00FE4901">
          <w:rPr>
            <w:rStyle w:val="Hyperlink"/>
            <w:lang w:val="ru-RU"/>
          </w:rPr>
          <w:t>.</w:t>
        </w:r>
        <w:r w:rsidRPr="00E91733">
          <w:rPr>
            <w:rStyle w:val="Hyperlink"/>
          </w:rPr>
          <w:t>europa</w:t>
        </w:r>
        <w:r w:rsidRPr="00FE4901">
          <w:rPr>
            <w:rStyle w:val="Hyperlink"/>
            <w:lang w:val="ru-RU"/>
          </w:rPr>
          <w:t>.</w:t>
        </w:r>
        <w:r w:rsidRPr="00E91733">
          <w:rPr>
            <w:rStyle w:val="Hyperlink"/>
          </w:rPr>
          <w:t>eu</w:t>
        </w:r>
        <w:r w:rsidRPr="00FE4901">
          <w:rPr>
            <w:rStyle w:val="Hyperlink"/>
            <w:lang w:val="ru-RU"/>
          </w:rPr>
          <w:t>/</w:t>
        </w:r>
        <w:r w:rsidRPr="00E91733">
          <w:rPr>
            <w:rStyle w:val="Hyperlink"/>
          </w:rPr>
          <w:t>eli</w:t>
        </w:r>
        <w:r w:rsidRPr="00FE4901">
          <w:rPr>
            <w:rStyle w:val="Hyperlink"/>
            <w:lang w:val="ru-RU"/>
          </w:rPr>
          <w:t>/</w:t>
        </w:r>
        <w:r w:rsidRPr="00E91733">
          <w:rPr>
            <w:rStyle w:val="Hyperlink"/>
          </w:rPr>
          <w:t>reg</w:t>
        </w:r>
        <w:r w:rsidRPr="00FE4901">
          <w:rPr>
            <w:rStyle w:val="Hyperlink"/>
            <w:lang w:val="ru-RU"/>
          </w:rPr>
          <w:t>/2014/1286</w:t>
        </w:r>
      </w:hyperlink>
    </w:p>
  </w:footnote>
  <w:footnote w:id="8">
    <w:p w14:paraId="0AB22805" w14:textId="010C7964" w:rsidR="00BC799E" w:rsidRPr="00FE4901" w:rsidRDefault="00BC799E">
      <w:pPr>
        <w:pStyle w:val="FootnoteText"/>
        <w:rPr>
          <w:lang w:val="ru-RU"/>
        </w:rPr>
      </w:pPr>
      <w:r>
        <w:rPr>
          <w:rStyle w:val="FootnoteReference"/>
        </w:rPr>
        <w:footnoteRef/>
      </w:r>
      <w:r w:rsidRPr="00FE4901">
        <w:rPr>
          <w:lang w:val="ru-RU"/>
        </w:rPr>
        <w:t xml:space="preserve"> </w:t>
      </w:r>
      <w:hyperlink r:id="rId8" w:history="1">
        <w:r w:rsidRPr="00E91733">
          <w:rPr>
            <w:rStyle w:val="Hyperlink"/>
          </w:rPr>
          <w:t>https</w:t>
        </w:r>
        <w:r w:rsidRPr="00FE4901">
          <w:rPr>
            <w:rStyle w:val="Hyperlink"/>
            <w:lang w:val="ru-RU"/>
          </w:rPr>
          <w:t>://</w:t>
        </w:r>
        <w:r w:rsidRPr="00E91733">
          <w:rPr>
            <w:rStyle w:val="Hyperlink"/>
          </w:rPr>
          <w:t>eur</w:t>
        </w:r>
        <w:r w:rsidRPr="00FE4901">
          <w:rPr>
            <w:rStyle w:val="Hyperlink"/>
            <w:lang w:val="ru-RU"/>
          </w:rPr>
          <w:t>-</w:t>
        </w:r>
        <w:r w:rsidRPr="00E91733">
          <w:rPr>
            <w:rStyle w:val="Hyperlink"/>
          </w:rPr>
          <w:t>lex</w:t>
        </w:r>
        <w:r w:rsidRPr="00FE4901">
          <w:rPr>
            <w:rStyle w:val="Hyperlink"/>
            <w:lang w:val="ru-RU"/>
          </w:rPr>
          <w:t>.</w:t>
        </w:r>
        <w:r w:rsidRPr="00E91733">
          <w:rPr>
            <w:rStyle w:val="Hyperlink"/>
          </w:rPr>
          <w:t>europa</w:t>
        </w:r>
        <w:r w:rsidRPr="00FE4901">
          <w:rPr>
            <w:rStyle w:val="Hyperlink"/>
            <w:lang w:val="ru-RU"/>
          </w:rPr>
          <w:t>.</w:t>
        </w:r>
        <w:r w:rsidRPr="00E91733">
          <w:rPr>
            <w:rStyle w:val="Hyperlink"/>
          </w:rPr>
          <w:t>eu</w:t>
        </w:r>
        <w:r w:rsidRPr="00FE4901">
          <w:rPr>
            <w:rStyle w:val="Hyperlink"/>
            <w:lang w:val="ru-RU"/>
          </w:rPr>
          <w:t>/</w:t>
        </w:r>
        <w:r w:rsidRPr="00E91733">
          <w:rPr>
            <w:rStyle w:val="Hyperlink"/>
          </w:rPr>
          <w:t>eli</w:t>
        </w:r>
        <w:r w:rsidRPr="00FE4901">
          <w:rPr>
            <w:rStyle w:val="Hyperlink"/>
            <w:lang w:val="ru-RU"/>
          </w:rPr>
          <w:t>/</w:t>
        </w:r>
        <w:r w:rsidRPr="00E91733">
          <w:rPr>
            <w:rStyle w:val="Hyperlink"/>
          </w:rPr>
          <w:t>reg</w:t>
        </w:r>
        <w:r w:rsidRPr="00FE4901">
          <w:rPr>
            <w:rStyle w:val="Hyperlink"/>
            <w:lang w:val="ru-RU"/>
          </w:rPr>
          <w:t>/2019/2088</w:t>
        </w:r>
      </w:hyperlink>
    </w:p>
  </w:footnote>
  <w:footnote w:id="9">
    <w:p w14:paraId="24D3C643" w14:textId="2EA35050" w:rsidR="00BC799E" w:rsidRPr="00FE4901" w:rsidRDefault="00BC799E">
      <w:pPr>
        <w:pStyle w:val="FootnoteText"/>
        <w:rPr>
          <w:lang w:val="ru-RU"/>
        </w:rPr>
      </w:pPr>
      <w:r>
        <w:rPr>
          <w:rStyle w:val="FootnoteReference"/>
        </w:rPr>
        <w:footnoteRef/>
      </w:r>
      <w:r w:rsidRPr="00FE4901">
        <w:rPr>
          <w:lang w:val="ru-RU"/>
        </w:rPr>
        <w:t xml:space="preserve"> </w:t>
      </w:r>
      <w:hyperlink r:id="rId9" w:history="1">
        <w:r w:rsidRPr="00E91733">
          <w:rPr>
            <w:rStyle w:val="Hyperlink"/>
          </w:rPr>
          <w:t>https</w:t>
        </w:r>
        <w:r w:rsidRPr="00FE4901">
          <w:rPr>
            <w:rStyle w:val="Hyperlink"/>
            <w:lang w:val="ru-RU"/>
          </w:rPr>
          <w:t>://</w:t>
        </w:r>
        <w:r w:rsidRPr="00E91733">
          <w:rPr>
            <w:rStyle w:val="Hyperlink"/>
          </w:rPr>
          <w:t>eur</w:t>
        </w:r>
        <w:r w:rsidRPr="00FE4901">
          <w:rPr>
            <w:rStyle w:val="Hyperlink"/>
            <w:lang w:val="ru-RU"/>
          </w:rPr>
          <w:t>-</w:t>
        </w:r>
        <w:r w:rsidRPr="00E91733">
          <w:rPr>
            <w:rStyle w:val="Hyperlink"/>
          </w:rPr>
          <w:t>lex</w:t>
        </w:r>
        <w:r w:rsidRPr="00FE4901">
          <w:rPr>
            <w:rStyle w:val="Hyperlink"/>
            <w:lang w:val="ru-RU"/>
          </w:rPr>
          <w:t>.</w:t>
        </w:r>
        <w:r w:rsidRPr="00E91733">
          <w:rPr>
            <w:rStyle w:val="Hyperlink"/>
          </w:rPr>
          <w:t>europa</w:t>
        </w:r>
        <w:r w:rsidRPr="00FE4901">
          <w:rPr>
            <w:rStyle w:val="Hyperlink"/>
            <w:lang w:val="ru-RU"/>
          </w:rPr>
          <w:t>.</w:t>
        </w:r>
        <w:r w:rsidRPr="00E91733">
          <w:rPr>
            <w:rStyle w:val="Hyperlink"/>
          </w:rPr>
          <w:t>eu</w:t>
        </w:r>
        <w:r w:rsidRPr="00FE4901">
          <w:rPr>
            <w:rStyle w:val="Hyperlink"/>
            <w:lang w:val="ru-RU"/>
          </w:rPr>
          <w:t>/</w:t>
        </w:r>
        <w:r w:rsidRPr="00E91733">
          <w:rPr>
            <w:rStyle w:val="Hyperlink"/>
          </w:rPr>
          <w:t>eli</w:t>
        </w:r>
        <w:r w:rsidRPr="00FE4901">
          <w:rPr>
            <w:rStyle w:val="Hyperlink"/>
            <w:lang w:val="ru-RU"/>
          </w:rPr>
          <w:t>/</w:t>
        </w:r>
        <w:r w:rsidRPr="00E91733">
          <w:rPr>
            <w:rStyle w:val="Hyperlink"/>
          </w:rPr>
          <w:t>reg</w:t>
        </w:r>
        <w:r w:rsidRPr="00FE4901">
          <w:rPr>
            <w:rStyle w:val="Hyperlink"/>
            <w:lang w:val="ru-RU"/>
          </w:rPr>
          <w:t>_</w:t>
        </w:r>
        <w:r w:rsidRPr="00E91733">
          <w:rPr>
            <w:rStyle w:val="Hyperlink"/>
          </w:rPr>
          <w:t>del</w:t>
        </w:r>
        <w:r w:rsidRPr="00FE4901">
          <w:rPr>
            <w:rStyle w:val="Hyperlink"/>
            <w:lang w:val="ru-RU"/>
          </w:rPr>
          <w:t>/2017/565</w:t>
        </w:r>
      </w:hyperlink>
    </w:p>
  </w:footnote>
  <w:footnote w:id="10">
    <w:p w14:paraId="1140702F" w14:textId="77777777" w:rsidR="00BC799E" w:rsidRPr="00FE4901" w:rsidRDefault="00BC799E">
      <w:pPr>
        <w:pStyle w:val="FootnoteText"/>
        <w:rPr>
          <w:lang w:val="ru-RU"/>
        </w:rPr>
      </w:pPr>
      <w:r>
        <w:rPr>
          <w:rStyle w:val="FootnoteReference"/>
        </w:rPr>
        <w:footnoteRef/>
      </w:r>
      <w:r w:rsidRPr="00FE4901">
        <w:rPr>
          <w:lang w:val="ru-RU"/>
        </w:rPr>
        <w:t xml:space="preserve"> </w:t>
      </w:r>
      <w:hyperlink r:id="rId10" w:history="1">
        <w:r w:rsidRPr="00622A06">
          <w:rPr>
            <w:rStyle w:val="Hyperlink"/>
          </w:rPr>
          <w:t>https</w:t>
        </w:r>
        <w:r w:rsidRPr="00FE4901">
          <w:rPr>
            <w:rStyle w:val="Hyperlink"/>
            <w:lang w:val="ru-RU"/>
          </w:rPr>
          <w:t>://</w:t>
        </w:r>
        <w:r w:rsidRPr="00622A06">
          <w:rPr>
            <w:rStyle w:val="Hyperlink"/>
          </w:rPr>
          <w:t>eur</w:t>
        </w:r>
        <w:r w:rsidRPr="00FE4901">
          <w:rPr>
            <w:rStyle w:val="Hyperlink"/>
            <w:lang w:val="ru-RU"/>
          </w:rPr>
          <w:t>-</w:t>
        </w:r>
        <w:r w:rsidRPr="00622A06">
          <w:rPr>
            <w:rStyle w:val="Hyperlink"/>
          </w:rPr>
          <w:t>lex</w:t>
        </w:r>
        <w:r w:rsidRPr="00FE4901">
          <w:rPr>
            <w:rStyle w:val="Hyperlink"/>
            <w:lang w:val="ru-RU"/>
          </w:rPr>
          <w:t>.</w:t>
        </w:r>
        <w:r w:rsidRPr="00622A06">
          <w:rPr>
            <w:rStyle w:val="Hyperlink"/>
          </w:rPr>
          <w:t>europa</w:t>
        </w:r>
        <w:r w:rsidRPr="00FE4901">
          <w:rPr>
            <w:rStyle w:val="Hyperlink"/>
            <w:lang w:val="ru-RU"/>
          </w:rPr>
          <w:t>.</w:t>
        </w:r>
        <w:r w:rsidRPr="00622A06">
          <w:rPr>
            <w:rStyle w:val="Hyperlink"/>
          </w:rPr>
          <w:t>eu</w:t>
        </w:r>
        <w:r w:rsidRPr="00FE4901">
          <w:rPr>
            <w:rStyle w:val="Hyperlink"/>
            <w:lang w:val="ru-RU"/>
          </w:rPr>
          <w:t>/</w:t>
        </w:r>
        <w:r w:rsidRPr="00622A06">
          <w:rPr>
            <w:rStyle w:val="Hyperlink"/>
          </w:rPr>
          <w:t>eli</w:t>
        </w:r>
        <w:r w:rsidRPr="00FE4901">
          <w:rPr>
            <w:rStyle w:val="Hyperlink"/>
            <w:lang w:val="ru-RU"/>
          </w:rPr>
          <w:t>/</w:t>
        </w:r>
        <w:r w:rsidRPr="00622A06">
          <w:rPr>
            <w:rStyle w:val="Hyperlink"/>
          </w:rPr>
          <w:t>reg</w:t>
        </w:r>
        <w:r w:rsidRPr="00FE4901">
          <w:rPr>
            <w:rStyle w:val="Hyperlink"/>
            <w:lang w:val="ru-RU"/>
          </w:rPr>
          <w:t>/2020/852/</w:t>
        </w:r>
        <w:r w:rsidRPr="00622A06">
          <w:rPr>
            <w:rStyle w:val="Hyperlink"/>
          </w:rPr>
          <w:t>oj</w:t>
        </w:r>
      </w:hyperlink>
    </w:p>
  </w:footnote>
  <w:footnote w:id="11">
    <w:p w14:paraId="7EF419DA" w14:textId="65F9C9C8" w:rsidR="00BC799E" w:rsidRPr="00FE4901" w:rsidRDefault="00BC799E">
      <w:pPr>
        <w:pStyle w:val="FootnoteText"/>
        <w:rPr>
          <w:lang w:val="ru-RU"/>
        </w:rPr>
      </w:pPr>
      <w:r>
        <w:rPr>
          <w:rStyle w:val="FootnoteReference"/>
        </w:rPr>
        <w:footnoteRef/>
      </w:r>
      <w:r w:rsidRPr="00FE4901">
        <w:rPr>
          <w:lang w:val="ru-RU"/>
        </w:rPr>
        <w:t xml:space="preserve"> </w:t>
      </w:r>
      <w:hyperlink r:id="rId11" w:history="1">
        <w:r w:rsidRPr="00E91733">
          <w:rPr>
            <w:rStyle w:val="Hyperlink"/>
          </w:rPr>
          <w:t>https</w:t>
        </w:r>
        <w:r w:rsidRPr="00FE4901">
          <w:rPr>
            <w:rStyle w:val="Hyperlink"/>
            <w:lang w:val="ru-RU"/>
          </w:rPr>
          <w:t>://</w:t>
        </w:r>
        <w:r w:rsidRPr="00E91733">
          <w:rPr>
            <w:rStyle w:val="Hyperlink"/>
          </w:rPr>
          <w:t>www</w:t>
        </w:r>
        <w:r w:rsidRPr="00FE4901">
          <w:rPr>
            <w:rStyle w:val="Hyperlink"/>
            <w:lang w:val="ru-RU"/>
          </w:rPr>
          <w:t>.</w:t>
        </w:r>
        <w:r w:rsidRPr="00E91733">
          <w:rPr>
            <w:rStyle w:val="Hyperlink"/>
          </w:rPr>
          <w:t>esma</w:t>
        </w:r>
        <w:r w:rsidRPr="00FE4901">
          <w:rPr>
            <w:rStyle w:val="Hyperlink"/>
            <w:lang w:val="ru-RU"/>
          </w:rPr>
          <w:t>.</w:t>
        </w:r>
        <w:r w:rsidRPr="00E91733">
          <w:rPr>
            <w:rStyle w:val="Hyperlink"/>
          </w:rPr>
          <w:t>europa</w:t>
        </w:r>
        <w:r w:rsidRPr="00FE4901">
          <w:rPr>
            <w:rStyle w:val="Hyperlink"/>
            <w:lang w:val="ru-RU"/>
          </w:rPr>
          <w:t>.</w:t>
        </w:r>
        <w:r w:rsidRPr="00E91733">
          <w:rPr>
            <w:rStyle w:val="Hyperlink"/>
          </w:rPr>
          <w:t>eu</w:t>
        </w:r>
        <w:r w:rsidRPr="00FE4901">
          <w:rPr>
            <w:rStyle w:val="Hyperlink"/>
            <w:lang w:val="ru-RU"/>
          </w:rPr>
          <w:t>/</w:t>
        </w:r>
        <w:r w:rsidRPr="00E91733">
          <w:rPr>
            <w:rStyle w:val="Hyperlink"/>
          </w:rPr>
          <w:t>sites</w:t>
        </w:r>
        <w:r w:rsidRPr="00FE4901">
          <w:rPr>
            <w:rStyle w:val="Hyperlink"/>
            <w:lang w:val="ru-RU"/>
          </w:rPr>
          <w:t>/</w:t>
        </w:r>
        <w:r w:rsidRPr="00E91733">
          <w:rPr>
            <w:rStyle w:val="Hyperlink"/>
          </w:rPr>
          <w:t>default</w:t>
        </w:r>
        <w:r w:rsidRPr="00FE4901">
          <w:rPr>
            <w:rStyle w:val="Hyperlink"/>
            <w:lang w:val="ru-RU"/>
          </w:rPr>
          <w:t>/</w:t>
        </w:r>
        <w:r w:rsidRPr="00E91733">
          <w:rPr>
            <w:rStyle w:val="Hyperlink"/>
          </w:rPr>
          <w:t>files</w:t>
        </w:r>
        <w:r w:rsidRPr="00FE4901">
          <w:rPr>
            <w:rStyle w:val="Hyperlink"/>
            <w:lang w:val="ru-RU"/>
          </w:rPr>
          <w:t>/</w:t>
        </w:r>
        <w:r w:rsidRPr="00E91733">
          <w:rPr>
            <w:rStyle w:val="Hyperlink"/>
          </w:rPr>
          <w:t>library</w:t>
        </w:r>
        <w:r w:rsidRPr="00FE4901">
          <w:rPr>
            <w:rStyle w:val="Hyperlink"/>
            <w:lang w:val="ru-RU"/>
          </w:rPr>
          <w:t>/</w:t>
        </w:r>
        <w:r w:rsidRPr="00E91733">
          <w:rPr>
            <w:rStyle w:val="Hyperlink"/>
          </w:rPr>
          <w:t>esma</w:t>
        </w:r>
        <w:r w:rsidRPr="00FE4901">
          <w:rPr>
            <w:rStyle w:val="Hyperlink"/>
            <w:lang w:val="ru-RU"/>
          </w:rPr>
          <w:t>35-43-349_</w:t>
        </w:r>
        <w:r w:rsidRPr="00E91733">
          <w:rPr>
            <w:rStyle w:val="Hyperlink"/>
          </w:rPr>
          <w:t>mifid</w:t>
        </w:r>
        <w:r w:rsidRPr="00FE4901">
          <w:rPr>
            <w:rStyle w:val="Hyperlink"/>
            <w:lang w:val="ru-RU"/>
          </w:rPr>
          <w:t>_</w:t>
        </w:r>
        <w:r w:rsidRPr="00E91733">
          <w:rPr>
            <w:rStyle w:val="Hyperlink"/>
          </w:rPr>
          <w:t>ii</w:t>
        </w:r>
        <w:r w:rsidRPr="00FE4901">
          <w:rPr>
            <w:rStyle w:val="Hyperlink"/>
            <w:lang w:val="ru-RU"/>
          </w:rPr>
          <w:t>_</w:t>
        </w:r>
        <w:r w:rsidRPr="00E91733">
          <w:rPr>
            <w:rStyle w:val="Hyperlink"/>
          </w:rPr>
          <w:t>qas</w:t>
        </w:r>
        <w:r w:rsidRPr="00FE4901">
          <w:rPr>
            <w:rStyle w:val="Hyperlink"/>
            <w:lang w:val="ru-RU"/>
          </w:rPr>
          <w:t>_</w:t>
        </w:r>
        <w:r w:rsidRPr="00E91733">
          <w:rPr>
            <w:rStyle w:val="Hyperlink"/>
          </w:rPr>
          <w:t>on</w:t>
        </w:r>
        <w:r w:rsidRPr="00FE4901">
          <w:rPr>
            <w:rStyle w:val="Hyperlink"/>
            <w:lang w:val="ru-RU"/>
          </w:rPr>
          <w:t>_</w:t>
        </w:r>
        <w:r w:rsidRPr="00E91733">
          <w:rPr>
            <w:rStyle w:val="Hyperlink"/>
          </w:rPr>
          <w:t>investor</w:t>
        </w:r>
        <w:r w:rsidRPr="00FE4901">
          <w:rPr>
            <w:rStyle w:val="Hyperlink"/>
            <w:lang w:val="ru-RU"/>
          </w:rPr>
          <w:t>_</w:t>
        </w:r>
        <w:r w:rsidRPr="00E91733">
          <w:rPr>
            <w:rStyle w:val="Hyperlink"/>
          </w:rPr>
          <w:t>protection</w:t>
        </w:r>
        <w:r w:rsidRPr="00FE4901">
          <w:rPr>
            <w:rStyle w:val="Hyperlink"/>
            <w:lang w:val="ru-RU"/>
          </w:rPr>
          <w:t>_</w:t>
        </w:r>
        <w:r w:rsidRPr="00E91733">
          <w:rPr>
            <w:rStyle w:val="Hyperlink"/>
          </w:rPr>
          <w:t>topics</w:t>
        </w:r>
        <w:r w:rsidRPr="00FE4901">
          <w:rPr>
            <w:rStyle w:val="Hyperlink"/>
            <w:lang w:val="ru-RU"/>
          </w:rPr>
          <w:t>.</w:t>
        </w:r>
        <w:r w:rsidRPr="00E91733">
          <w:rPr>
            <w:rStyle w:val="Hyperlink"/>
          </w:rPr>
          <w:t>pdf</w:t>
        </w:r>
      </w:hyperlink>
    </w:p>
  </w:footnote>
  <w:footnote w:id="12">
    <w:p w14:paraId="30B8914C" w14:textId="16E88B09" w:rsidR="00BC799E" w:rsidRPr="00FE4901" w:rsidRDefault="00BC799E">
      <w:pPr>
        <w:pStyle w:val="FootnoteText"/>
        <w:rPr>
          <w:lang w:val="ru-RU"/>
        </w:rPr>
      </w:pPr>
      <w:r>
        <w:rPr>
          <w:rStyle w:val="FootnoteReference"/>
        </w:rPr>
        <w:footnoteRef/>
      </w:r>
      <w:r w:rsidRPr="00FE4901">
        <w:rPr>
          <w:lang w:val="ru-RU"/>
        </w:rPr>
        <w:t xml:space="preserve"> </w:t>
      </w:r>
      <w:hyperlink r:id="rId12" w:history="1">
        <w:r w:rsidRPr="00E91733">
          <w:rPr>
            <w:rStyle w:val="Hyperlink"/>
          </w:rPr>
          <w:t>https</w:t>
        </w:r>
        <w:r w:rsidRPr="00FE4901">
          <w:rPr>
            <w:rStyle w:val="Hyperlink"/>
            <w:lang w:val="ru-RU"/>
          </w:rPr>
          <w:t>://</w:t>
        </w:r>
        <w:r w:rsidRPr="00E91733">
          <w:rPr>
            <w:rStyle w:val="Hyperlink"/>
          </w:rPr>
          <w:t>www</w:t>
        </w:r>
        <w:r w:rsidRPr="00FE4901">
          <w:rPr>
            <w:rStyle w:val="Hyperlink"/>
            <w:lang w:val="ru-RU"/>
          </w:rPr>
          <w:t>.</w:t>
        </w:r>
        <w:r w:rsidRPr="00E91733">
          <w:rPr>
            <w:rStyle w:val="Hyperlink"/>
          </w:rPr>
          <w:t>cysec</w:t>
        </w:r>
        <w:r w:rsidRPr="00FE4901">
          <w:rPr>
            <w:rStyle w:val="Hyperlink"/>
            <w:lang w:val="ru-RU"/>
          </w:rPr>
          <w:t>.</w:t>
        </w:r>
        <w:r w:rsidRPr="00E91733">
          <w:rPr>
            <w:rStyle w:val="Hyperlink"/>
          </w:rPr>
          <w:t>gov</w:t>
        </w:r>
        <w:r w:rsidRPr="00FE4901">
          <w:rPr>
            <w:rStyle w:val="Hyperlink"/>
            <w:lang w:val="ru-RU"/>
          </w:rPr>
          <w:t>.</w:t>
        </w:r>
        <w:r w:rsidRPr="00E91733">
          <w:rPr>
            <w:rStyle w:val="Hyperlink"/>
          </w:rPr>
          <w:t>cy</w:t>
        </w:r>
        <w:r w:rsidRPr="00FE4901">
          <w:rPr>
            <w:rStyle w:val="Hyperlink"/>
            <w:lang w:val="ru-RU"/>
          </w:rPr>
          <w:t>/</w:t>
        </w:r>
        <w:r w:rsidRPr="00E91733">
          <w:rPr>
            <w:rStyle w:val="Hyperlink"/>
          </w:rPr>
          <w:t>CMSPages</w:t>
        </w:r>
        <w:r w:rsidRPr="00FE4901">
          <w:rPr>
            <w:rStyle w:val="Hyperlink"/>
            <w:lang w:val="ru-RU"/>
          </w:rPr>
          <w:t>/</w:t>
        </w:r>
        <w:r w:rsidRPr="00E91733">
          <w:rPr>
            <w:rStyle w:val="Hyperlink"/>
          </w:rPr>
          <w:t>GetFile</w:t>
        </w:r>
        <w:r w:rsidRPr="00FE4901">
          <w:rPr>
            <w:rStyle w:val="Hyperlink"/>
            <w:lang w:val="ru-RU"/>
          </w:rPr>
          <w:t>.</w:t>
        </w:r>
        <w:r w:rsidRPr="00E91733">
          <w:rPr>
            <w:rStyle w:val="Hyperlink"/>
          </w:rPr>
          <w:t>aspx</w:t>
        </w:r>
        <w:r w:rsidRPr="00FE4901">
          <w:rPr>
            <w:rStyle w:val="Hyperlink"/>
            <w:lang w:val="ru-RU"/>
          </w:rPr>
          <w:t>?</w:t>
        </w:r>
        <w:r w:rsidRPr="00E91733">
          <w:rPr>
            <w:rStyle w:val="Hyperlink"/>
          </w:rPr>
          <w:t>guid</w:t>
        </w:r>
        <w:r w:rsidRPr="00FE4901">
          <w:rPr>
            <w:rStyle w:val="Hyperlink"/>
            <w:lang w:val="ru-RU"/>
          </w:rPr>
          <w:t>=164</w:t>
        </w:r>
        <w:r w:rsidRPr="00E91733">
          <w:rPr>
            <w:rStyle w:val="Hyperlink"/>
          </w:rPr>
          <w:t>a</w:t>
        </w:r>
        <w:r w:rsidRPr="00FE4901">
          <w:rPr>
            <w:rStyle w:val="Hyperlink"/>
            <w:lang w:val="ru-RU"/>
          </w:rPr>
          <w:t>836</w:t>
        </w:r>
        <w:r w:rsidRPr="00E91733">
          <w:rPr>
            <w:rStyle w:val="Hyperlink"/>
          </w:rPr>
          <w:t>e</w:t>
        </w:r>
        <w:r w:rsidRPr="00FE4901">
          <w:rPr>
            <w:rStyle w:val="Hyperlink"/>
            <w:lang w:val="ru-RU"/>
          </w:rPr>
          <w:t>-</w:t>
        </w:r>
        <w:r w:rsidRPr="00E91733">
          <w:rPr>
            <w:rStyle w:val="Hyperlink"/>
          </w:rPr>
          <w:t>de</w:t>
        </w:r>
        <w:r w:rsidRPr="00FE4901">
          <w:rPr>
            <w:rStyle w:val="Hyperlink"/>
            <w:lang w:val="ru-RU"/>
          </w:rPr>
          <w:t>2</w:t>
        </w:r>
        <w:r w:rsidRPr="00E91733">
          <w:rPr>
            <w:rStyle w:val="Hyperlink"/>
          </w:rPr>
          <w:t>b</w:t>
        </w:r>
        <w:r w:rsidRPr="00FE4901">
          <w:rPr>
            <w:rStyle w:val="Hyperlink"/>
            <w:lang w:val="ru-RU"/>
          </w:rPr>
          <w:t>-4509-905</w:t>
        </w:r>
        <w:r w:rsidRPr="00E91733">
          <w:rPr>
            <w:rStyle w:val="Hyperlink"/>
          </w:rPr>
          <w:t>c</w:t>
        </w:r>
        <w:r w:rsidRPr="00FE4901">
          <w:rPr>
            <w:rStyle w:val="Hyperlink"/>
            <w:lang w:val="ru-RU"/>
          </w:rPr>
          <w:t>-45818757</w:t>
        </w:r>
        <w:r w:rsidRPr="00E91733">
          <w:rPr>
            <w:rStyle w:val="Hyperlink"/>
          </w:rPr>
          <w:t>d</w:t>
        </w:r>
        <w:r w:rsidRPr="00FE4901">
          <w:rPr>
            <w:rStyle w:val="Hyperlink"/>
            <w:lang w:val="ru-RU"/>
          </w:rPr>
          <w:t>4</w:t>
        </w:r>
        <w:r w:rsidRPr="00E91733">
          <w:rPr>
            <w:rStyle w:val="Hyperlink"/>
          </w:rPr>
          <w:t>ec</w:t>
        </w:r>
      </w:hyperlink>
    </w:p>
  </w:footnote>
  <w:footnote w:id="13">
    <w:p w14:paraId="52F3D60B" w14:textId="61E7DB1A" w:rsidR="00BC799E" w:rsidRPr="00343369" w:rsidRDefault="00BC799E" w:rsidP="00343369">
      <w:pPr>
        <w:pStyle w:val="FootnoteText"/>
        <w:rPr>
          <w:lang w:val="ru-RU"/>
        </w:rPr>
      </w:pPr>
      <w:r>
        <w:rPr>
          <w:rStyle w:val="FootnoteReference"/>
        </w:rPr>
        <w:footnoteRef/>
      </w:r>
      <w:r>
        <w:t xml:space="preserve"> Examples: MSCI ESG Fund Ratings and Climate </w:t>
      </w:r>
      <w:hyperlink r:id="rId13" w:history="1">
        <w:r w:rsidRPr="00B17688">
          <w:rPr>
            <w:rStyle w:val="Hyperlink"/>
          </w:rPr>
          <w:t>Search Tool</w:t>
        </w:r>
      </w:hyperlink>
      <w:r>
        <w:t xml:space="preserve">; Bloomberg </w:t>
      </w:r>
      <w:hyperlink r:id="rId14" w:history="1">
        <w:r w:rsidRPr="00B17688">
          <w:rPr>
            <w:rStyle w:val="Hyperlink"/>
          </w:rPr>
          <w:t>ESG Data</w:t>
        </w:r>
      </w:hyperlink>
      <w:r>
        <w:t xml:space="preserve">, </w:t>
      </w:r>
      <w:r w:rsidRPr="00C10E93">
        <w:t>Sustainable Fitch</w:t>
      </w:r>
      <w:r>
        <w:t xml:space="preserve"> </w:t>
      </w:r>
      <w:hyperlink r:id="rId15" w:history="1">
        <w:r w:rsidRPr="00C10E93">
          <w:rPr>
            <w:rStyle w:val="Hyperlink"/>
          </w:rPr>
          <w:t>ESG Ratings</w:t>
        </w:r>
      </w:hyperlink>
      <w:r>
        <w:t xml:space="preserve">, Morningstar </w:t>
      </w:r>
      <w:hyperlink r:id="rId16" w:history="1">
        <w:r w:rsidRPr="00FC1168">
          <w:rPr>
            <w:rStyle w:val="Hyperlink"/>
          </w:rPr>
          <w:t>ESG Risk Ratings</w:t>
        </w:r>
      </w:hyperlink>
      <w:r>
        <w:t xml:space="preserve">, CDP </w:t>
      </w:r>
      <w:hyperlink r:id="rId17" w:history="1">
        <w:r w:rsidRPr="00850526">
          <w:rPr>
            <w:rStyle w:val="Hyperlink"/>
          </w:rPr>
          <w:t>Companies scores</w:t>
        </w:r>
      </w:hyperlink>
    </w:p>
  </w:footnote>
  <w:footnote w:id="14">
    <w:p w14:paraId="0756AF4D" w14:textId="77777777" w:rsidR="00BC799E" w:rsidRDefault="00BC799E" w:rsidP="001B021C">
      <w:pPr>
        <w:pStyle w:val="FootnoteText"/>
      </w:pPr>
      <w:r w:rsidRPr="00D21491">
        <w:rPr>
          <w:rStyle w:val="FootnoteReference"/>
        </w:rPr>
        <w:footnoteRef/>
      </w:r>
      <w:r w:rsidRPr="00D21491">
        <w:t xml:space="preserve"> </w:t>
      </w:r>
      <w:r w:rsidRPr="00D21491">
        <w:rPr>
          <w:rFonts w:eastAsiaTheme="minorHAnsi"/>
          <w:bCs/>
        </w:rPr>
        <w:t xml:space="preserve">The Company may have hard time meeting </w:t>
      </w:r>
      <w:r>
        <w:t>sustainability preferences</w:t>
      </w:r>
      <w:r w:rsidRPr="00D21491">
        <w:t xml:space="preserve"> with respect to such financial instruments. For example, a</w:t>
      </w:r>
      <w:r w:rsidRPr="00D21491">
        <w:rPr>
          <w:rFonts w:eastAsiaTheme="minorHAnsi"/>
          <w:bCs/>
        </w:rPr>
        <w:t xml:space="preserve"> fund may commingle sustainable instruments with non-sustainable ones without Company’s knowledge; an UCITS may not disclose accurately share of sustainable instruments in its portfolio at the time of a transaction.</w:t>
      </w:r>
    </w:p>
  </w:footnote>
  <w:footnote w:id="15">
    <w:p w14:paraId="2630E47B" w14:textId="0A7D7972" w:rsidR="00BC799E" w:rsidRDefault="00BC799E" w:rsidP="004834EC">
      <w:pPr>
        <w:pStyle w:val="FootnoteText"/>
      </w:pPr>
      <w:r w:rsidRPr="002A431D">
        <w:rPr>
          <w:rStyle w:val="FootnoteReference"/>
        </w:rPr>
        <w:footnoteRef/>
      </w:r>
      <w:r w:rsidRPr="002A431D">
        <w:t xml:space="preserve"> Section 7 of the Preamble to Commission Delegated Directive (EU) </w:t>
      </w:r>
      <w:hyperlink r:id="rId18" w:history="1">
        <w:r w:rsidRPr="002A431D">
          <w:rPr>
            <w:rStyle w:val="Hyperlink"/>
          </w:rPr>
          <w:t>2021/1269</w:t>
        </w:r>
      </w:hyperlink>
      <w:r w:rsidRPr="002A431D">
        <w:t xml:space="preserve"> of 21 April 2021 amending the </w:t>
      </w:r>
      <w:r w:rsidRPr="002A431D">
        <w:rPr>
          <w:rFonts w:eastAsiaTheme="minorHAnsi"/>
        </w:rPr>
        <w:t>MiFID II Delegated Directive</w:t>
      </w:r>
      <w:r>
        <w:t>.</w:t>
      </w:r>
    </w:p>
  </w:footnote>
  <w:footnote w:id="16">
    <w:p w14:paraId="78771228" w14:textId="4EAA02A3" w:rsidR="00BC799E" w:rsidRDefault="00BC799E">
      <w:pPr>
        <w:pStyle w:val="FootnoteText"/>
      </w:pPr>
      <w:r>
        <w:rPr>
          <w:rStyle w:val="FootnoteReference"/>
        </w:rPr>
        <w:footnoteRef/>
      </w:r>
      <w:r>
        <w:t xml:space="preserve"> </w:t>
      </w:r>
      <w:hyperlink r:id="rId19" w:history="1">
        <w:r w:rsidRPr="0005413A">
          <w:rPr>
            <w:rStyle w:val="Hyperlink"/>
          </w:rPr>
          <w:t>https://eur-lex.europa.eu/eli/reg/2017/1129</w:t>
        </w:r>
      </w:hyperlink>
    </w:p>
  </w:footnote>
  <w:footnote w:id="17">
    <w:p w14:paraId="0A8501E1" w14:textId="7CFA259F" w:rsidR="00BC799E" w:rsidRDefault="00BC799E">
      <w:pPr>
        <w:pStyle w:val="FootnoteText"/>
      </w:pPr>
      <w:r>
        <w:rPr>
          <w:rStyle w:val="FootnoteReference"/>
        </w:rPr>
        <w:footnoteRef/>
      </w:r>
      <w:r>
        <w:t xml:space="preserve"> </w:t>
      </w:r>
      <w:hyperlink r:id="rId20" w:history="1">
        <w:r w:rsidRPr="0005413A">
          <w:rPr>
            <w:rStyle w:val="Hyperlink"/>
          </w:rPr>
          <w:t>https://eur-lex.europa.eu/eli/dir/2004/109</w:t>
        </w:r>
      </w:hyperlink>
    </w:p>
  </w:footnote>
  <w:footnote w:id="18">
    <w:p w14:paraId="1C24F5C3" w14:textId="262EDD83" w:rsidR="00BC799E" w:rsidRDefault="00BC799E">
      <w:pPr>
        <w:pStyle w:val="FootnoteText"/>
      </w:pPr>
      <w:r>
        <w:rPr>
          <w:rStyle w:val="FootnoteReference"/>
        </w:rPr>
        <w:footnoteRef/>
      </w:r>
      <w:r>
        <w:t xml:space="preserve"> </w:t>
      </w:r>
      <w:hyperlink r:id="rId21" w:history="1">
        <w:r w:rsidRPr="0005413A">
          <w:rPr>
            <w:rStyle w:val="Hyperlink"/>
          </w:rPr>
          <w:t>https://eur-lex.europa.eu/eli/dir/2009/65</w:t>
        </w:r>
      </w:hyperlink>
    </w:p>
  </w:footnote>
  <w:footnote w:id="19">
    <w:p w14:paraId="60038093" w14:textId="67C4A2AC" w:rsidR="00BC799E" w:rsidRDefault="00BC799E">
      <w:pPr>
        <w:pStyle w:val="FootnoteText"/>
      </w:pPr>
      <w:r>
        <w:rPr>
          <w:rStyle w:val="FootnoteReference"/>
        </w:rPr>
        <w:footnoteRef/>
      </w:r>
      <w:r>
        <w:t xml:space="preserve"> </w:t>
      </w:r>
      <w:hyperlink r:id="rId22" w:history="1">
        <w:r w:rsidRPr="0005413A">
          <w:rPr>
            <w:rStyle w:val="Hyperlink"/>
          </w:rPr>
          <w:t>https://eur-lex.europa.eu/eli/dir/2011/61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BBE7" w14:textId="77777777" w:rsidR="00BC799E" w:rsidRDefault="00BC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0" w:type="dxa"/>
      <w:tblInd w:w="-284" w:type="dxa"/>
      <w:tblLook w:val="04A0" w:firstRow="1" w:lastRow="0" w:firstColumn="1" w:lastColumn="0" w:noHBand="0" w:noVBand="1"/>
    </w:tblPr>
    <w:tblGrid>
      <w:gridCol w:w="4885"/>
      <w:gridCol w:w="5175"/>
    </w:tblGrid>
    <w:tr w:rsidR="00BC799E" w14:paraId="5D804892" w14:textId="77777777" w:rsidTr="0021775A">
      <w:tc>
        <w:tcPr>
          <w:tcW w:w="4885" w:type="dxa"/>
        </w:tcPr>
        <w:p w14:paraId="6929F1E6" w14:textId="1E5B83CB" w:rsidR="00BC799E" w:rsidRDefault="00BC799E" w:rsidP="00F34EC4">
          <w:pPr>
            <w:ind w:right="480"/>
            <w:rPr>
              <w:b/>
            </w:rPr>
          </w:pPr>
          <w:r>
            <w:rPr>
              <w:b/>
              <w:noProof/>
              <w:snapToGrid/>
              <w:lang w:eastAsia="en-GB"/>
            </w:rPr>
            <w:drawing>
              <wp:inline distT="0" distB="0" distL="0" distR="0" wp14:anchorId="37DBD17F" wp14:editId="487B5453">
                <wp:extent cx="1777042" cy="586448"/>
                <wp:effectExtent l="0" t="0" r="0" b="4445"/>
                <wp:docPr id="3"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175" w:type="dxa"/>
        </w:tcPr>
        <w:p w14:paraId="0931FB3F" w14:textId="2A3C0072" w:rsidR="00BC799E" w:rsidRPr="00760E7F" w:rsidRDefault="00BC799E" w:rsidP="00137044">
          <w:pPr>
            <w:pStyle w:val="Header"/>
          </w:pPr>
          <w:r w:rsidRPr="00760E7F">
            <w:fldChar w:fldCharType="begin"/>
          </w:r>
          <w:r w:rsidRPr="00760E7F">
            <w:instrText xml:space="preserve"> PAGE   \* MERGEFORMAT </w:instrText>
          </w:r>
          <w:r w:rsidRPr="00760E7F">
            <w:fldChar w:fldCharType="separate"/>
          </w:r>
          <w:r w:rsidR="00A06137">
            <w:rPr>
              <w:noProof/>
            </w:rPr>
            <w:t>23</w:t>
          </w:r>
          <w:r w:rsidRPr="00760E7F">
            <w:fldChar w:fldCharType="end"/>
          </w:r>
        </w:p>
      </w:tc>
    </w:tr>
  </w:tbl>
  <w:p w14:paraId="1B1E53F8" w14:textId="17FB803C" w:rsidR="00BC799E" w:rsidRDefault="00BC799E" w:rsidP="00760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0" w:type="dxa"/>
      <w:tblInd w:w="-284" w:type="dxa"/>
      <w:tblLook w:val="04A0" w:firstRow="1" w:lastRow="0" w:firstColumn="1" w:lastColumn="0" w:noHBand="0" w:noVBand="1"/>
    </w:tblPr>
    <w:tblGrid>
      <w:gridCol w:w="4885"/>
      <w:gridCol w:w="5175"/>
    </w:tblGrid>
    <w:tr w:rsidR="00BC799E" w14:paraId="451F33D2" w14:textId="77777777" w:rsidTr="00C272B7">
      <w:tc>
        <w:tcPr>
          <w:tcW w:w="4885" w:type="dxa"/>
        </w:tcPr>
        <w:p w14:paraId="6EEF0069" w14:textId="77777777" w:rsidR="00BC799E" w:rsidRDefault="00BC799E" w:rsidP="008637BB">
          <w:pPr>
            <w:ind w:right="480"/>
            <w:rPr>
              <w:b/>
            </w:rPr>
          </w:pPr>
          <w:r>
            <w:rPr>
              <w:b/>
              <w:noProof/>
              <w:snapToGrid/>
              <w:lang w:eastAsia="en-GB"/>
            </w:rPr>
            <w:drawing>
              <wp:inline distT="0" distB="0" distL="0" distR="0" wp14:anchorId="693B7BA2" wp14:editId="2A02E14D">
                <wp:extent cx="1777042" cy="586448"/>
                <wp:effectExtent l="0" t="0" r="0" b="4445"/>
                <wp:docPr id="6"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175" w:type="dxa"/>
        </w:tcPr>
        <w:p w14:paraId="61EFBC7F" w14:textId="4B8A0C95" w:rsidR="00BC799E" w:rsidRPr="00760E7F" w:rsidRDefault="00BC799E" w:rsidP="008637BB">
          <w:pPr>
            <w:pStyle w:val="Header"/>
          </w:pPr>
        </w:p>
      </w:tc>
    </w:tr>
  </w:tbl>
  <w:p w14:paraId="5913D767" w14:textId="77777777" w:rsidR="00BC799E" w:rsidRDefault="00BC799E" w:rsidP="008637BB">
    <w:pPr>
      <w:pStyle w:val="Header"/>
    </w:pPr>
  </w:p>
  <w:p w14:paraId="06B41973" w14:textId="77777777" w:rsidR="00BC799E" w:rsidRDefault="00BC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70284F"/>
    <w:multiLevelType w:val="multilevel"/>
    <w:tmpl w:val="23806B88"/>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2" w15:restartNumberingAfterBreak="0">
    <w:nsid w:val="20841BFA"/>
    <w:multiLevelType w:val="multilevel"/>
    <w:tmpl w:val="E534B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A1B8E"/>
    <w:multiLevelType w:val="hybridMultilevel"/>
    <w:tmpl w:val="831C3B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8890417"/>
    <w:multiLevelType w:val="multilevel"/>
    <w:tmpl w:val="42485788"/>
    <w:lvl w:ilvl="0">
      <w:start w:val="1"/>
      <w:numFmt w:val="bullet"/>
      <w:pStyle w:val="ListParagraph"/>
      <w:lvlText w:val="–"/>
      <w:lvlJc w:val="left"/>
      <w:pPr>
        <w:tabs>
          <w:tab w:val="num" w:pos="567"/>
        </w:tabs>
        <w:ind w:left="1134" w:hanging="567"/>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BE223F"/>
    <w:multiLevelType w:val="multilevel"/>
    <w:tmpl w:val="4C721390"/>
    <w:lvl w:ilvl="0">
      <w:start w:val="1"/>
      <w:numFmt w:val="decimal"/>
      <w:lvlText w:val="%1."/>
      <w:lvlJc w:val="left"/>
      <w:pPr>
        <w:tabs>
          <w:tab w:val="num" w:pos="567"/>
        </w:tabs>
        <w:ind w:left="0" w:firstLine="0"/>
      </w:pPr>
      <w:rPr>
        <w:rFonts w:ascii="Cambria" w:hAnsi="Cambria" w:hint="default"/>
        <w:b/>
        <w:i w:val="0"/>
        <w:sz w:val="22"/>
      </w:rPr>
    </w:lvl>
    <w:lvl w:ilvl="1">
      <w:start w:val="1"/>
      <w:numFmt w:val="decimal"/>
      <w:pStyle w:val="Listlevel2"/>
      <w:lvlText w:val="%1.%2"/>
      <w:lvlJc w:val="left"/>
      <w:pPr>
        <w:tabs>
          <w:tab w:val="num" w:pos="567"/>
        </w:tabs>
        <w:ind w:left="0" w:firstLine="0"/>
      </w:pPr>
      <w:rPr>
        <w:rFonts w:ascii="Cambria" w:hAnsi="Cambria" w:hint="default"/>
        <w:b w:val="0"/>
        <w:i w:val="0"/>
        <w:sz w:val="22"/>
      </w:rPr>
    </w:lvl>
    <w:lvl w:ilvl="2">
      <w:start w:val="1"/>
      <w:numFmt w:val="lowerLetter"/>
      <w:pStyle w:val="Listlevel3"/>
      <w:lvlText w:val="(%3)"/>
      <w:lvlJc w:val="left"/>
      <w:pPr>
        <w:tabs>
          <w:tab w:val="num" w:pos="567"/>
        </w:tabs>
        <w:ind w:left="1134" w:hanging="567"/>
      </w:pPr>
      <w:rPr>
        <w:rFonts w:ascii="Cambria" w:hAnsi="Cambria" w:hint="default"/>
        <w:b w:val="0"/>
        <w:i w:val="0"/>
        <w:sz w:val="22"/>
      </w:rPr>
    </w:lvl>
    <w:lvl w:ilvl="3">
      <w:start w:val="1"/>
      <w:numFmt w:val="lowerRoman"/>
      <w:pStyle w:val="Listlevel4"/>
      <w:lvlText w:val="(%4)"/>
      <w:lvlJc w:val="left"/>
      <w:pPr>
        <w:tabs>
          <w:tab w:val="num" w:pos="567"/>
        </w:tabs>
        <w:ind w:left="1701" w:hanging="567"/>
      </w:pPr>
      <w:rPr>
        <w:rFonts w:ascii="Cambria" w:hAnsi="Cambria" w:hint="default"/>
        <w:b w:val="0"/>
        <w:i w:val="0"/>
        <w:sz w:val="22"/>
      </w:rPr>
    </w:lvl>
    <w:lvl w:ilvl="4">
      <w:start w:val="1"/>
      <w:numFmt w:val="bullet"/>
      <w:lvlText w:val="–"/>
      <w:lvlJc w:val="left"/>
      <w:pPr>
        <w:tabs>
          <w:tab w:val="num" w:pos="567"/>
        </w:tabs>
        <w:ind w:left="2268" w:hanging="567"/>
      </w:pPr>
      <w:rPr>
        <w:rFonts w:ascii="Cambria" w:hAnsi="Cambria" w:cs="Times New Roman" w:hint="default"/>
        <w:b w:val="0"/>
        <w:i w:val="0"/>
        <w:sz w:val="2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3F702C0"/>
    <w:multiLevelType w:val="multilevel"/>
    <w:tmpl w:val="523C1AF4"/>
    <w:lvl w:ilvl="0">
      <w:start w:val="1"/>
      <w:numFmt w:val="decimal"/>
      <w:pStyle w:val="Versioncontrollist"/>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0"/>
  </w:num>
  <w:num w:numId="19">
    <w:abstractNumId w:val="5"/>
  </w:num>
  <w:num w:numId="20">
    <w:abstractNumId w:val="5"/>
  </w:num>
  <w:num w:numId="21">
    <w:abstractNumId w:val="5"/>
  </w:num>
  <w:num w:numId="22">
    <w:abstractNumId w:val="5"/>
  </w:num>
  <w:num w:numId="23">
    <w:abstractNumId w:val="5"/>
  </w:num>
  <w:num w:numId="24">
    <w:abstractNumId w:val="0"/>
  </w:num>
  <w:num w:numId="25">
    <w:abstractNumId w:val="5"/>
  </w:num>
  <w:num w:numId="26">
    <w:abstractNumId w:val="5"/>
  </w:num>
  <w:num w:numId="27">
    <w:abstractNumId w:val="5"/>
  </w:num>
  <w:num w:numId="28">
    <w:abstractNumId w:val="6"/>
  </w:num>
  <w:num w:numId="29">
    <w:abstractNumId w:val="6"/>
  </w:num>
  <w:num w:numId="30">
    <w:abstractNumId w:val="5"/>
  </w:num>
  <w:num w:numId="31">
    <w:abstractNumId w:val="5"/>
  </w:num>
  <w:num w:numId="32">
    <w:abstractNumId w:val="5"/>
  </w:num>
  <w:num w:numId="33">
    <w:abstractNumId w:val="5"/>
  </w:num>
  <w:num w:numId="34">
    <w:abstractNumId w:val="4"/>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oNotTrackFormatting/>
  <w:defaultTabStop w:val="708"/>
  <w:characterSpacingControl w:val="doNotCompress"/>
  <w:hdrShapeDefaults>
    <o:shapedefaults v:ext="edit" spidmax="16385">
      <o:colormru v:ext="edit" colors="white,#ffc"/>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NjIwMrc0NDM3MjFT0lEKTi0uzszPAykwMqgFAKZtdwUtAAAA"/>
  </w:docVars>
  <w:rsids>
    <w:rsidRoot w:val="00BB4DD4"/>
    <w:rsid w:val="0000179E"/>
    <w:rsid w:val="000044DC"/>
    <w:rsid w:val="00004DC8"/>
    <w:rsid w:val="000070C9"/>
    <w:rsid w:val="00011067"/>
    <w:rsid w:val="00012CA7"/>
    <w:rsid w:val="0001442C"/>
    <w:rsid w:val="00021A4E"/>
    <w:rsid w:val="00022D0D"/>
    <w:rsid w:val="000249E8"/>
    <w:rsid w:val="00032F2E"/>
    <w:rsid w:val="00033B50"/>
    <w:rsid w:val="0003463B"/>
    <w:rsid w:val="0003585E"/>
    <w:rsid w:val="00037B98"/>
    <w:rsid w:val="00041B0A"/>
    <w:rsid w:val="000444F6"/>
    <w:rsid w:val="00044ABA"/>
    <w:rsid w:val="0005794B"/>
    <w:rsid w:val="000634BC"/>
    <w:rsid w:val="00064DE6"/>
    <w:rsid w:val="00070EE8"/>
    <w:rsid w:val="0007479E"/>
    <w:rsid w:val="00074C1A"/>
    <w:rsid w:val="000763C3"/>
    <w:rsid w:val="00076A51"/>
    <w:rsid w:val="00077B5A"/>
    <w:rsid w:val="000806EA"/>
    <w:rsid w:val="00082212"/>
    <w:rsid w:val="00082FCC"/>
    <w:rsid w:val="00083A46"/>
    <w:rsid w:val="00093A5A"/>
    <w:rsid w:val="00095D42"/>
    <w:rsid w:val="000A3FFA"/>
    <w:rsid w:val="000A704B"/>
    <w:rsid w:val="000A78E8"/>
    <w:rsid w:val="000B1C1E"/>
    <w:rsid w:val="000D0B33"/>
    <w:rsid w:val="000D0F65"/>
    <w:rsid w:val="000E35E9"/>
    <w:rsid w:val="000E7137"/>
    <w:rsid w:val="000E7C0F"/>
    <w:rsid w:val="000F2406"/>
    <w:rsid w:val="000F5FC2"/>
    <w:rsid w:val="00101775"/>
    <w:rsid w:val="001027B7"/>
    <w:rsid w:val="00104025"/>
    <w:rsid w:val="001045CA"/>
    <w:rsid w:val="001065C0"/>
    <w:rsid w:val="00112C69"/>
    <w:rsid w:val="00112DE9"/>
    <w:rsid w:val="00117797"/>
    <w:rsid w:val="001231CF"/>
    <w:rsid w:val="00124CF2"/>
    <w:rsid w:val="00130567"/>
    <w:rsid w:val="00131888"/>
    <w:rsid w:val="00134FC1"/>
    <w:rsid w:val="00135CF0"/>
    <w:rsid w:val="00136101"/>
    <w:rsid w:val="00137044"/>
    <w:rsid w:val="001370C9"/>
    <w:rsid w:val="00141D98"/>
    <w:rsid w:val="00145924"/>
    <w:rsid w:val="00150761"/>
    <w:rsid w:val="00156523"/>
    <w:rsid w:val="0015685A"/>
    <w:rsid w:val="001569C9"/>
    <w:rsid w:val="0016065B"/>
    <w:rsid w:val="00161A83"/>
    <w:rsid w:val="00170695"/>
    <w:rsid w:val="00170DCF"/>
    <w:rsid w:val="00172F1E"/>
    <w:rsid w:val="001737EB"/>
    <w:rsid w:val="00173A5C"/>
    <w:rsid w:val="00176335"/>
    <w:rsid w:val="00176846"/>
    <w:rsid w:val="00177581"/>
    <w:rsid w:val="001808FC"/>
    <w:rsid w:val="00181BE9"/>
    <w:rsid w:val="00182BF6"/>
    <w:rsid w:val="00183ADB"/>
    <w:rsid w:val="00184876"/>
    <w:rsid w:val="00190FEE"/>
    <w:rsid w:val="0019757E"/>
    <w:rsid w:val="001A04FB"/>
    <w:rsid w:val="001B021C"/>
    <w:rsid w:val="001B1961"/>
    <w:rsid w:val="001B2B9A"/>
    <w:rsid w:val="001C0A1F"/>
    <w:rsid w:val="001C614A"/>
    <w:rsid w:val="001D07DC"/>
    <w:rsid w:val="001D1F9A"/>
    <w:rsid w:val="001D29AF"/>
    <w:rsid w:val="001E6142"/>
    <w:rsid w:val="001E69F4"/>
    <w:rsid w:val="001E7C1C"/>
    <w:rsid w:val="001E7D13"/>
    <w:rsid w:val="001E7FD7"/>
    <w:rsid w:val="001F1499"/>
    <w:rsid w:val="001F53B8"/>
    <w:rsid w:val="001F6E58"/>
    <w:rsid w:val="001F76B6"/>
    <w:rsid w:val="00203329"/>
    <w:rsid w:val="002063F5"/>
    <w:rsid w:val="00206405"/>
    <w:rsid w:val="00211B1E"/>
    <w:rsid w:val="002155B0"/>
    <w:rsid w:val="0021775A"/>
    <w:rsid w:val="00217982"/>
    <w:rsid w:val="0022216C"/>
    <w:rsid w:val="002223B1"/>
    <w:rsid w:val="00222499"/>
    <w:rsid w:val="00222DE8"/>
    <w:rsid w:val="00224764"/>
    <w:rsid w:val="00225750"/>
    <w:rsid w:val="00225BA6"/>
    <w:rsid w:val="00230065"/>
    <w:rsid w:val="002335FE"/>
    <w:rsid w:val="002364AB"/>
    <w:rsid w:val="00236B63"/>
    <w:rsid w:val="00240622"/>
    <w:rsid w:val="00241909"/>
    <w:rsid w:val="002422C1"/>
    <w:rsid w:val="00246C86"/>
    <w:rsid w:val="0024718A"/>
    <w:rsid w:val="00247E89"/>
    <w:rsid w:val="00252B53"/>
    <w:rsid w:val="002532AB"/>
    <w:rsid w:val="00254182"/>
    <w:rsid w:val="002553C1"/>
    <w:rsid w:val="00257171"/>
    <w:rsid w:val="00257FFB"/>
    <w:rsid w:val="00260981"/>
    <w:rsid w:val="00260C9F"/>
    <w:rsid w:val="0026351F"/>
    <w:rsid w:val="002644E5"/>
    <w:rsid w:val="00274D5A"/>
    <w:rsid w:val="0027519C"/>
    <w:rsid w:val="002869C0"/>
    <w:rsid w:val="00290EA8"/>
    <w:rsid w:val="00291E4F"/>
    <w:rsid w:val="00292A1B"/>
    <w:rsid w:val="002A431D"/>
    <w:rsid w:val="002A7EB7"/>
    <w:rsid w:val="002B5628"/>
    <w:rsid w:val="002B6701"/>
    <w:rsid w:val="002C01E7"/>
    <w:rsid w:val="002C47D1"/>
    <w:rsid w:val="002C4ED5"/>
    <w:rsid w:val="002D2435"/>
    <w:rsid w:val="002D3A9F"/>
    <w:rsid w:val="002D62FB"/>
    <w:rsid w:val="002D7F86"/>
    <w:rsid w:val="002E7F59"/>
    <w:rsid w:val="002F071D"/>
    <w:rsid w:val="002F0B26"/>
    <w:rsid w:val="002F1917"/>
    <w:rsid w:val="002F2351"/>
    <w:rsid w:val="002F461B"/>
    <w:rsid w:val="00301107"/>
    <w:rsid w:val="00307899"/>
    <w:rsid w:val="00307B90"/>
    <w:rsid w:val="0031274A"/>
    <w:rsid w:val="003131DB"/>
    <w:rsid w:val="00313589"/>
    <w:rsid w:val="00313F88"/>
    <w:rsid w:val="00320BC9"/>
    <w:rsid w:val="00321808"/>
    <w:rsid w:val="00323F68"/>
    <w:rsid w:val="00324A1D"/>
    <w:rsid w:val="00325D9A"/>
    <w:rsid w:val="003263EE"/>
    <w:rsid w:val="00327DD6"/>
    <w:rsid w:val="00330021"/>
    <w:rsid w:val="003306D5"/>
    <w:rsid w:val="0033206A"/>
    <w:rsid w:val="00332797"/>
    <w:rsid w:val="00337DBE"/>
    <w:rsid w:val="00342800"/>
    <w:rsid w:val="00343369"/>
    <w:rsid w:val="003437F7"/>
    <w:rsid w:val="00346072"/>
    <w:rsid w:val="00346A4B"/>
    <w:rsid w:val="003476D2"/>
    <w:rsid w:val="003564C4"/>
    <w:rsid w:val="00357F1B"/>
    <w:rsid w:val="0036140D"/>
    <w:rsid w:val="00362BB3"/>
    <w:rsid w:val="00366B4B"/>
    <w:rsid w:val="00372AE7"/>
    <w:rsid w:val="003741D6"/>
    <w:rsid w:val="00374834"/>
    <w:rsid w:val="003826B5"/>
    <w:rsid w:val="00383DBA"/>
    <w:rsid w:val="00390640"/>
    <w:rsid w:val="003949E5"/>
    <w:rsid w:val="00396FD8"/>
    <w:rsid w:val="003A325E"/>
    <w:rsid w:val="003A47B8"/>
    <w:rsid w:val="003A5638"/>
    <w:rsid w:val="003B0598"/>
    <w:rsid w:val="003B410C"/>
    <w:rsid w:val="003B4947"/>
    <w:rsid w:val="003C2C3B"/>
    <w:rsid w:val="003C2C62"/>
    <w:rsid w:val="003C413F"/>
    <w:rsid w:val="003C63F2"/>
    <w:rsid w:val="003C6B34"/>
    <w:rsid w:val="003C7EAD"/>
    <w:rsid w:val="003D22DF"/>
    <w:rsid w:val="003D36EC"/>
    <w:rsid w:val="003E0DB5"/>
    <w:rsid w:val="003E20A5"/>
    <w:rsid w:val="003E3173"/>
    <w:rsid w:val="003E376D"/>
    <w:rsid w:val="003E42D0"/>
    <w:rsid w:val="003E4D92"/>
    <w:rsid w:val="003E65A4"/>
    <w:rsid w:val="003E709D"/>
    <w:rsid w:val="003E74A3"/>
    <w:rsid w:val="003E7C6D"/>
    <w:rsid w:val="003F1B5B"/>
    <w:rsid w:val="003F266D"/>
    <w:rsid w:val="003F5D07"/>
    <w:rsid w:val="003F7F17"/>
    <w:rsid w:val="00406C6E"/>
    <w:rsid w:val="00407B46"/>
    <w:rsid w:val="0041021C"/>
    <w:rsid w:val="00411118"/>
    <w:rsid w:val="004137E3"/>
    <w:rsid w:val="00416E0E"/>
    <w:rsid w:val="00421D8F"/>
    <w:rsid w:val="00424A6A"/>
    <w:rsid w:val="00427B26"/>
    <w:rsid w:val="00430801"/>
    <w:rsid w:val="00430A59"/>
    <w:rsid w:val="00432DA7"/>
    <w:rsid w:val="00433B16"/>
    <w:rsid w:val="00433E36"/>
    <w:rsid w:val="0043794D"/>
    <w:rsid w:val="00440713"/>
    <w:rsid w:val="0044304B"/>
    <w:rsid w:val="00444B73"/>
    <w:rsid w:val="004514D3"/>
    <w:rsid w:val="00455775"/>
    <w:rsid w:val="00456970"/>
    <w:rsid w:val="00456B2F"/>
    <w:rsid w:val="004622E4"/>
    <w:rsid w:val="00465FA6"/>
    <w:rsid w:val="00466BCB"/>
    <w:rsid w:val="00467D57"/>
    <w:rsid w:val="0047474D"/>
    <w:rsid w:val="004751AB"/>
    <w:rsid w:val="004777FF"/>
    <w:rsid w:val="00481802"/>
    <w:rsid w:val="004834EC"/>
    <w:rsid w:val="0048377A"/>
    <w:rsid w:val="00484F3A"/>
    <w:rsid w:val="004916AD"/>
    <w:rsid w:val="004925B8"/>
    <w:rsid w:val="00492D09"/>
    <w:rsid w:val="004972F4"/>
    <w:rsid w:val="004A10F1"/>
    <w:rsid w:val="004A2E58"/>
    <w:rsid w:val="004A2EFB"/>
    <w:rsid w:val="004A3002"/>
    <w:rsid w:val="004A50D5"/>
    <w:rsid w:val="004A52BA"/>
    <w:rsid w:val="004A53AF"/>
    <w:rsid w:val="004A710F"/>
    <w:rsid w:val="004B0D3E"/>
    <w:rsid w:val="004B297B"/>
    <w:rsid w:val="004B37B3"/>
    <w:rsid w:val="004B72D0"/>
    <w:rsid w:val="004C089B"/>
    <w:rsid w:val="004C1895"/>
    <w:rsid w:val="004C1BC1"/>
    <w:rsid w:val="004C344D"/>
    <w:rsid w:val="004C4532"/>
    <w:rsid w:val="004D1DAA"/>
    <w:rsid w:val="004D5494"/>
    <w:rsid w:val="004E1C2B"/>
    <w:rsid w:val="004E4AA5"/>
    <w:rsid w:val="004E4B9D"/>
    <w:rsid w:val="004F1DFA"/>
    <w:rsid w:val="004F45C2"/>
    <w:rsid w:val="004F4C59"/>
    <w:rsid w:val="004F6214"/>
    <w:rsid w:val="00502B54"/>
    <w:rsid w:val="005041F6"/>
    <w:rsid w:val="00504F1A"/>
    <w:rsid w:val="0051061A"/>
    <w:rsid w:val="0051084B"/>
    <w:rsid w:val="00512308"/>
    <w:rsid w:val="00513544"/>
    <w:rsid w:val="00515DF3"/>
    <w:rsid w:val="00524C3B"/>
    <w:rsid w:val="00525E21"/>
    <w:rsid w:val="00530010"/>
    <w:rsid w:val="00534A54"/>
    <w:rsid w:val="00537060"/>
    <w:rsid w:val="005418EE"/>
    <w:rsid w:val="00543F39"/>
    <w:rsid w:val="00545C32"/>
    <w:rsid w:val="00546401"/>
    <w:rsid w:val="0054668B"/>
    <w:rsid w:val="005506EA"/>
    <w:rsid w:val="00552F69"/>
    <w:rsid w:val="00562387"/>
    <w:rsid w:val="00562C7D"/>
    <w:rsid w:val="005647E9"/>
    <w:rsid w:val="005673A1"/>
    <w:rsid w:val="00567641"/>
    <w:rsid w:val="005769F9"/>
    <w:rsid w:val="00576F49"/>
    <w:rsid w:val="005775DF"/>
    <w:rsid w:val="00582158"/>
    <w:rsid w:val="00587DD0"/>
    <w:rsid w:val="00591571"/>
    <w:rsid w:val="005916AE"/>
    <w:rsid w:val="00595DE9"/>
    <w:rsid w:val="0059784F"/>
    <w:rsid w:val="005A07BE"/>
    <w:rsid w:val="005A2F1E"/>
    <w:rsid w:val="005A64E1"/>
    <w:rsid w:val="005C0A83"/>
    <w:rsid w:val="005C347C"/>
    <w:rsid w:val="005C6A7C"/>
    <w:rsid w:val="005D08A4"/>
    <w:rsid w:val="005D3AB0"/>
    <w:rsid w:val="005D6D98"/>
    <w:rsid w:val="005E03D9"/>
    <w:rsid w:val="005E309C"/>
    <w:rsid w:val="005E3E13"/>
    <w:rsid w:val="005F0355"/>
    <w:rsid w:val="005F274F"/>
    <w:rsid w:val="005F3A42"/>
    <w:rsid w:val="005F5FA3"/>
    <w:rsid w:val="005F6C55"/>
    <w:rsid w:val="006010F7"/>
    <w:rsid w:val="00602524"/>
    <w:rsid w:val="00605D0D"/>
    <w:rsid w:val="00606030"/>
    <w:rsid w:val="00612C39"/>
    <w:rsid w:val="00614B89"/>
    <w:rsid w:val="006164CF"/>
    <w:rsid w:val="00616A23"/>
    <w:rsid w:val="00616BF1"/>
    <w:rsid w:val="00630C5F"/>
    <w:rsid w:val="00632202"/>
    <w:rsid w:val="00632630"/>
    <w:rsid w:val="00635333"/>
    <w:rsid w:val="00635BAD"/>
    <w:rsid w:val="0063723A"/>
    <w:rsid w:val="0064274D"/>
    <w:rsid w:val="00644F87"/>
    <w:rsid w:val="00647112"/>
    <w:rsid w:val="00651B04"/>
    <w:rsid w:val="00655807"/>
    <w:rsid w:val="00655DC1"/>
    <w:rsid w:val="00656501"/>
    <w:rsid w:val="00656DCD"/>
    <w:rsid w:val="00670BC5"/>
    <w:rsid w:val="006775AC"/>
    <w:rsid w:val="006806EE"/>
    <w:rsid w:val="00680CA6"/>
    <w:rsid w:val="006810CC"/>
    <w:rsid w:val="00681E88"/>
    <w:rsid w:val="0068438D"/>
    <w:rsid w:val="00684B2E"/>
    <w:rsid w:val="0068517D"/>
    <w:rsid w:val="00685649"/>
    <w:rsid w:val="00687A03"/>
    <w:rsid w:val="00687B98"/>
    <w:rsid w:val="00693D69"/>
    <w:rsid w:val="00694089"/>
    <w:rsid w:val="006940EA"/>
    <w:rsid w:val="00697338"/>
    <w:rsid w:val="006A0C65"/>
    <w:rsid w:val="006A24F8"/>
    <w:rsid w:val="006A30D0"/>
    <w:rsid w:val="006A331B"/>
    <w:rsid w:val="006A5201"/>
    <w:rsid w:val="006B1700"/>
    <w:rsid w:val="006B3EFD"/>
    <w:rsid w:val="006C1F45"/>
    <w:rsid w:val="006C31EB"/>
    <w:rsid w:val="006C3268"/>
    <w:rsid w:val="006C64D2"/>
    <w:rsid w:val="006C663D"/>
    <w:rsid w:val="006D1807"/>
    <w:rsid w:val="006D1C87"/>
    <w:rsid w:val="006E17B8"/>
    <w:rsid w:val="006E41D7"/>
    <w:rsid w:val="006F0369"/>
    <w:rsid w:val="006F1841"/>
    <w:rsid w:val="006F36C5"/>
    <w:rsid w:val="006F4652"/>
    <w:rsid w:val="006F5225"/>
    <w:rsid w:val="006F53F9"/>
    <w:rsid w:val="00706704"/>
    <w:rsid w:val="00706ABC"/>
    <w:rsid w:val="00707ACC"/>
    <w:rsid w:val="007107EB"/>
    <w:rsid w:val="00711495"/>
    <w:rsid w:val="0071181B"/>
    <w:rsid w:val="00717DEE"/>
    <w:rsid w:val="007208D5"/>
    <w:rsid w:val="00722744"/>
    <w:rsid w:val="00722955"/>
    <w:rsid w:val="007306E4"/>
    <w:rsid w:val="00730CD6"/>
    <w:rsid w:val="007349E9"/>
    <w:rsid w:val="00737440"/>
    <w:rsid w:val="007439DC"/>
    <w:rsid w:val="00744C5D"/>
    <w:rsid w:val="00745950"/>
    <w:rsid w:val="00750FBE"/>
    <w:rsid w:val="00751361"/>
    <w:rsid w:val="00751367"/>
    <w:rsid w:val="007528F3"/>
    <w:rsid w:val="00755823"/>
    <w:rsid w:val="0076069A"/>
    <w:rsid w:val="00760E7F"/>
    <w:rsid w:val="007619CB"/>
    <w:rsid w:val="007623B8"/>
    <w:rsid w:val="00762BF1"/>
    <w:rsid w:val="00770974"/>
    <w:rsid w:val="00770DAF"/>
    <w:rsid w:val="0077746A"/>
    <w:rsid w:val="00777ED0"/>
    <w:rsid w:val="00780CE7"/>
    <w:rsid w:val="00785A85"/>
    <w:rsid w:val="00790935"/>
    <w:rsid w:val="007911C4"/>
    <w:rsid w:val="00791A1F"/>
    <w:rsid w:val="00797A50"/>
    <w:rsid w:val="007A26EF"/>
    <w:rsid w:val="007A3564"/>
    <w:rsid w:val="007A4B14"/>
    <w:rsid w:val="007A5069"/>
    <w:rsid w:val="007B33FB"/>
    <w:rsid w:val="007B424A"/>
    <w:rsid w:val="007B4407"/>
    <w:rsid w:val="007B7B98"/>
    <w:rsid w:val="007C1A9D"/>
    <w:rsid w:val="007C2A0B"/>
    <w:rsid w:val="007C58CE"/>
    <w:rsid w:val="007D08CF"/>
    <w:rsid w:val="007D1F08"/>
    <w:rsid w:val="007D79EB"/>
    <w:rsid w:val="007D7ADB"/>
    <w:rsid w:val="007E1F1C"/>
    <w:rsid w:val="007E2942"/>
    <w:rsid w:val="007E2D21"/>
    <w:rsid w:val="007E35D3"/>
    <w:rsid w:val="007F0C54"/>
    <w:rsid w:val="007F2ADB"/>
    <w:rsid w:val="007F553F"/>
    <w:rsid w:val="008005CB"/>
    <w:rsid w:val="00800A69"/>
    <w:rsid w:val="00801BBC"/>
    <w:rsid w:val="00802BCF"/>
    <w:rsid w:val="00806678"/>
    <w:rsid w:val="008075B0"/>
    <w:rsid w:val="008116B2"/>
    <w:rsid w:val="00813322"/>
    <w:rsid w:val="00814B55"/>
    <w:rsid w:val="0081506D"/>
    <w:rsid w:val="00816BDB"/>
    <w:rsid w:val="008173E5"/>
    <w:rsid w:val="008223FC"/>
    <w:rsid w:val="00822A0F"/>
    <w:rsid w:val="00825D52"/>
    <w:rsid w:val="00827724"/>
    <w:rsid w:val="00831DFD"/>
    <w:rsid w:val="00832F6A"/>
    <w:rsid w:val="00850526"/>
    <w:rsid w:val="008544F8"/>
    <w:rsid w:val="00854736"/>
    <w:rsid w:val="00854EF1"/>
    <w:rsid w:val="00861B03"/>
    <w:rsid w:val="00861EE9"/>
    <w:rsid w:val="008637BB"/>
    <w:rsid w:val="00865FAD"/>
    <w:rsid w:val="00867096"/>
    <w:rsid w:val="00876351"/>
    <w:rsid w:val="00881636"/>
    <w:rsid w:val="00885A06"/>
    <w:rsid w:val="008917CE"/>
    <w:rsid w:val="00896008"/>
    <w:rsid w:val="00897B8E"/>
    <w:rsid w:val="008A4722"/>
    <w:rsid w:val="008A5971"/>
    <w:rsid w:val="008A72AE"/>
    <w:rsid w:val="008B165D"/>
    <w:rsid w:val="008B1A1E"/>
    <w:rsid w:val="008B4DAC"/>
    <w:rsid w:val="008B5F75"/>
    <w:rsid w:val="008C0D80"/>
    <w:rsid w:val="008C3A7E"/>
    <w:rsid w:val="008C4A10"/>
    <w:rsid w:val="008C5903"/>
    <w:rsid w:val="008C6E34"/>
    <w:rsid w:val="008D1901"/>
    <w:rsid w:val="008D5D11"/>
    <w:rsid w:val="008D78EE"/>
    <w:rsid w:val="008E1690"/>
    <w:rsid w:val="008E2FEA"/>
    <w:rsid w:val="008E7853"/>
    <w:rsid w:val="0090122B"/>
    <w:rsid w:val="00903564"/>
    <w:rsid w:val="0090709B"/>
    <w:rsid w:val="00914773"/>
    <w:rsid w:val="00914FE0"/>
    <w:rsid w:val="0091535A"/>
    <w:rsid w:val="00916189"/>
    <w:rsid w:val="00921C2F"/>
    <w:rsid w:val="00923474"/>
    <w:rsid w:val="00924268"/>
    <w:rsid w:val="00925F20"/>
    <w:rsid w:val="00926ABB"/>
    <w:rsid w:val="0093520E"/>
    <w:rsid w:val="009372E0"/>
    <w:rsid w:val="009374BA"/>
    <w:rsid w:val="009419DE"/>
    <w:rsid w:val="0094352B"/>
    <w:rsid w:val="00943D91"/>
    <w:rsid w:val="00947A82"/>
    <w:rsid w:val="009501AC"/>
    <w:rsid w:val="0095141B"/>
    <w:rsid w:val="00951BD7"/>
    <w:rsid w:val="0095331F"/>
    <w:rsid w:val="00953A80"/>
    <w:rsid w:val="009541DD"/>
    <w:rsid w:val="00956033"/>
    <w:rsid w:val="009561D8"/>
    <w:rsid w:val="00957B68"/>
    <w:rsid w:val="00957C82"/>
    <w:rsid w:val="009646A5"/>
    <w:rsid w:val="00970876"/>
    <w:rsid w:val="00971290"/>
    <w:rsid w:val="0097467D"/>
    <w:rsid w:val="0097510F"/>
    <w:rsid w:val="00975E2F"/>
    <w:rsid w:val="009777C4"/>
    <w:rsid w:val="00981B48"/>
    <w:rsid w:val="00983725"/>
    <w:rsid w:val="0098629C"/>
    <w:rsid w:val="00987FD0"/>
    <w:rsid w:val="00991AE8"/>
    <w:rsid w:val="009922FE"/>
    <w:rsid w:val="009945D9"/>
    <w:rsid w:val="00994C5B"/>
    <w:rsid w:val="009A0E91"/>
    <w:rsid w:val="009A1F15"/>
    <w:rsid w:val="009A2B07"/>
    <w:rsid w:val="009A3512"/>
    <w:rsid w:val="009A6A02"/>
    <w:rsid w:val="009A71C7"/>
    <w:rsid w:val="009A7B3E"/>
    <w:rsid w:val="009B0823"/>
    <w:rsid w:val="009B0867"/>
    <w:rsid w:val="009B1921"/>
    <w:rsid w:val="009B3B95"/>
    <w:rsid w:val="009C13A7"/>
    <w:rsid w:val="009C1EB2"/>
    <w:rsid w:val="009C334C"/>
    <w:rsid w:val="009C35A4"/>
    <w:rsid w:val="009C39B5"/>
    <w:rsid w:val="009C4E3E"/>
    <w:rsid w:val="009C7A1B"/>
    <w:rsid w:val="009D1AA4"/>
    <w:rsid w:val="009D7C12"/>
    <w:rsid w:val="009E2D1C"/>
    <w:rsid w:val="009E60EA"/>
    <w:rsid w:val="009E7178"/>
    <w:rsid w:val="009E7EFB"/>
    <w:rsid w:val="009F2AC0"/>
    <w:rsid w:val="009F70B7"/>
    <w:rsid w:val="009F7198"/>
    <w:rsid w:val="009F7B75"/>
    <w:rsid w:val="00A028FC"/>
    <w:rsid w:val="00A06137"/>
    <w:rsid w:val="00A1033D"/>
    <w:rsid w:val="00A114E4"/>
    <w:rsid w:val="00A12D14"/>
    <w:rsid w:val="00A12DF8"/>
    <w:rsid w:val="00A13056"/>
    <w:rsid w:val="00A142CC"/>
    <w:rsid w:val="00A15A0B"/>
    <w:rsid w:val="00A22366"/>
    <w:rsid w:val="00A27680"/>
    <w:rsid w:val="00A32B1E"/>
    <w:rsid w:val="00A3461C"/>
    <w:rsid w:val="00A41D32"/>
    <w:rsid w:val="00A42DAB"/>
    <w:rsid w:val="00A47A5F"/>
    <w:rsid w:val="00A47DD9"/>
    <w:rsid w:val="00A531E9"/>
    <w:rsid w:val="00A603F5"/>
    <w:rsid w:val="00A620D9"/>
    <w:rsid w:val="00A63395"/>
    <w:rsid w:val="00A646D0"/>
    <w:rsid w:val="00A656C0"/>
    <w:rsid w:val="00A65AA1"/>
    <w:rsid w:val="00A72866"/>
    <w:rsid w:val="00A7402D"/>
    <w:rsid w:val="00A777FC"/>
    <w:rsid w:val="00A8021A"/>
    <w:rsid w:val="00A80E3B"/>
    <w:rsid w:val="00A8255A"/>
    <w:rsid w:val="00A8395C"/>
    <w:rsid w:val="00A900CB"/>
    <w:rsid w:val="00A90999"/>
    <w:rsid w:val="00A93E1B"/>
    <w:rsid w:val="00A97800"/>
    <w:rsid w:val="00A97835"/>
    <w:rsid w:val="00AA0838"/>
    <w:rsid w:val="00AA0A07"/>
    <w:rsid w:val="00AA3120"/>
    <w:rsid w:val="00AA6638"/>
    <w:rsid w:val="00AA7093"/>
    <w:rsid w:val="00AB0127"/>
    <w:rsid w:val="00AB092B"/>
    <w:rsid w:val="00AB1F7D"/>
    <w:rsid w:val="00AB3AEC"/>
    <w:rsid w:val="00AB3B10"/>
    <w:rsid w:val="00AC05FE"/>
    <w:rsid w:val="00AC13C4"/>
    <w:rsid w:val="00AC27A0"/>
    <w:rsid w:val="00AC2873"/>
    <w:rsid w:val="00AC669C"/>
    <w:rsid w:val="00AE247A"/>
    <w:rsid w:val="00AE3C04"/>
    <w:rsid w:val="00AE62E0"/>
    <w:rsid w:val="00AE7ACD"/>
    <w:rsid w:val="00AF16AE"/>
    <w:rsid w:val="00AF2015"/>
    <w:rsid w:val="00AF3668"/>
    <w:rsid w:val="00AF757A"/>
    <w:rsid w:val="00AF7788"/>
    <w:rsid w:val="00B02879"/>
    <w:rsid w:val="00B03304"/>
    <w:rsid w:val="00B048DA"/>
    <w:rsid w:val="00B05A17"/>
    <w:rsid w:val="00B05C0B"/>
    <w:rsid w:val="00B1406C"/>
    <w:rsid w:val="00B1458A"/>
    <w:rsid w:val="00B1747B"/>
    <w:rsid w:val="00B2172B"/>
    <w:rsid w:val="00B2292D"/>
    <w:rsid w:val="00B27ECC"/>
    <w:rsid w:val="00B327E6"/>
    <w:rsid w:val="00B36FCF"/>
    <w:rsid w:val="00B372B7"/>
    <w:rsid w:val="00B4056B"/>
    <w:rsid w:val="00B41340"/>
    <w:rsid w:val="00B4507D"/>
    <w:rsid w:val="00B45497"/>
    <w:rsid w:val="00B46748"/>
    <w:rsid w:val="00B50CB1"/>
    <w:rsid w:val="00B57BFF"/>
    <w:rsid w:val="00B66211"/>
    <w:rsid w:val="00B662C7"/>
    <w:rsid w:val="00B66DC4"/>
    <w:rsid w:val="00B6764C"/>
    <w:rsid w:val="00B67EA7"/>
    <w:rsid w:val="00B70312"/>
    <w:rsid w:val="00B758E8"/>
    <w:rsid w:val="00B84E42"/>
    <w:rsid w:val="00B87199"/>
    <w:rsid w:val="00B907AA"/>
    <w:rsid w:val="00B94A70"/>
    <w:rsid w:val="00B970CE"/>
    <w:rsid w:val="00BA4DC5"/>
    <w:rsid w:val="00BB0008"/>
    <w:rsid w:val="00BB1FB7"/>
    <w:rsid w:val="00BB4DD4"/>
    <w:rsid w:val="00BB4E2B"/>
    <w:rsid w:val="00BB64BA"/>
    <w:rsid w:val="00BB6906"/>
    <w:rsid w:val="00BC716E"/>
    <w:rsid w:val="00BC799E"/>
    <w:rsid w:val="00BD2FFD"/>
    <w:rsid w:val="00BD3FE6"/>
    <w:rsid w:val="00BD5631"/>
    <w:rsid w:val="00BE0C6C"/>
    <w:rsid w:val="00BE2FCB"/>
    <w:rsid w:val="00BE47C4"/>
    <w:rsid w:val="00BF2488"/>
    <w:rsid w:val="00BF4660"/>
    <w:rsid w:val="00C04CB7"/>
    <w:rsid w:val="00C055B0"/>
    <w:rsid w:val="00C05F9D"/>
    <w:rsid w:val="00C11EA6"/>
    <w:rsid w:val="00C272B7"/>
    <w:rsid w:val="00C31D44"/>
    <w:rsid w:val="00C3528D"/>
    <w:rsid w:val="00C357A1"/>
    <w:rsid w:val="00C35FD2"/>
    <w:rsid w:val="00C363E0"/>
    <w:rsid w:val="00C372F0"/>
    <w:rsid w:val="00C408DA"/>
    <w:rsid w:val="00C409C1"/>
    <w:rsid w:val="00C41020"/>
    <w:rsid w:val="00C422B1"/>
    <w:rsid w:val="00C42825"/>
    <w:rsid w:val="00C45CFC"/>
    <w:rsid w:val="00C56412"/>
    <w:rsid w:val="00C6135B"/>
    <w:rsid w:val="00C6424F"/>
    <w:rsid w:val="00C65A26"/>
    <w:rsid w:val="00C668ED"/>
    <w:rsid w:val="00C724EE"/>
    <w:rsid w:val="00C75967"/>
    <w:rsid w:val="00C75FFC"/>
    <w:rsid w:val="00C800F6"/>
    <w:rsid w:val="00C81DAB"/>
    <w:rsid w:val="00C8740C"/>
    <w:rsid w:val="00C9244C"/>
    <w:rsid w:val="00C92696"/>
    <w:rsid w:val="00C93975"/>
    <w:rsid w:val="00C963BC"/>
    <w:rsid w:val="00CA04EB"/>
    <w:rsid w:val="00CA059F"/>
    <w:rsid w:val="00CA16D9"/>
    <w:rsid w:val="00CA3475"/>
    <w:rsid w:val="00CB3787"/>
    <w:rsid w:val="00CB40A6"/>
    <w:rsid w:val="00CB56AA"/>
    <w:rsid w:val="00CB697F"/>
    <w:rsid w:val="00CB73ED"/>
    <w:rsid w:val="00CC281F"/>
    <w:rsid w:val="00CC3C71"/>
    <w:rsid w:val="00CC516D"/>
    <w:rsid w:val="00CC51BE"/>
    <w:rsid w:val="00CC6140"/>
    <w:rsid w:val="00CC7D81"/>
    <w:rsid w:val="00CD265E"/>
    <w:rsid w:val="00CD7D0F"/>
    <w:rsid w:val="00CE4E08"/>
    <w:rsid w:val="00CE6CF7"/>
    <w:rsid w:val="00CF02D0"/>
    <w:rsid w:val="00CF1AA1"/>
    <w:rsid w:val="00CF1DC1"/>
    <w:rsid w:val="00CF1F88"/>
    <w:rsid w:val="00CF414A"/>
    <w:rsid w:val="00CF5208"/>
    <w:rsid w:val="00CF6365"/>
    <w:rsid w:val="00D0201D"/>
    <w:rsid w:val="00D028A7"/>
    <w:rsid w:val="00D0382A"/>
    <w:rsid w:val="00D04D62"/>
    <w:rsid w:val="00D072CF"/>
    <w:rsid w:val="00D10F44"/>
    <w:rsid w:val="00D11B0D"/>
    <w:rsid w:val="00D11C0F"/>
    <w:rsid w:val="00D175A7"/>
    <w:rsid w:val="00D17A24"/>
    <w:rsid w:val="00D17A79"/>
    <w:rsid w:val="00D21491"/>
    <w:rsid w:val="00D26728"/>
    <w:rsid w:val="00D3148F"/>
    <w:rsid w:val="00D34ADA"/>
    <w:rsid w:val="00D35F8C"/>
    <w:rsid w:val="00D3764B"/>
    <w:rsid w:val="00D40327"/>
    <w:rsid w:val="00D41853"/>
    <w:rsid w:val="00D4200D"/>
    <w:rsid w:val="00D554EF"/>
    <w:rsid w:val="00D57410"/>
    <w:rsid w:val="00D607B6"/>
    <w:rsid w:val="00D613B4"/>
    <w:rsid w:val="00D61B70"/>
    <w:rsid w:val="00D61F57"/>
    <w:rsid w:val="00D621D3"/>
    <w:rsid w:val="00D64D5F"/>
    <w:rsid w:val="00D70DD2"/>
    <w:rsid w:val="00D71164"/>
    <w:rsid w:val="00D81D69"/>
    <w:rsid w:val="00D93BC3"/>
    <w:rsid w:val="00D96EE0"/>
    <w:rsid w:val="00D9715E"/>
    <w:rsid w:val="00D97DA2"/>
    <w:rsid w:val="00DA1CF8"/>
    <w:rsid w:val="00DA3577"/>
    <w:rsid w:val="00DA4CA9"/>
    <w:rsid w:val="00DA58A0"/>
    <w:rsid w:val="00DA6684"/>
    <w:rsid w:val="00DA6E52"/>
    <w:rsid w:val="00DB7970"/>
    <w:rsid w:val="00DC1441"/>
    <w:rsid w:val="00DC231B"/>
    <w:rsid w:val="00DC4054"/>
    <w:rsid w:val="00DD0B64"/>
    <w:rsid w:val="00DD10A9"/>
    <w:rsid w:val="00DD1BAE"/>
    <w:rsid w:val="00DD1C1C"/>
    <w:rsid w:val="00DD3B6A"/>
    <w:rsid w:val="00DD4842"/>
    <w:rsid w:val="00DD68EB"/>
    <w:rsid w:val="00DD7668"/>
    <w:rsid w:val="00DE0601"/>
    <w:rsid w:val="00DF1428"/>
    <w:rsid w:val="00DF4823"/>
    <w:rsid w:val="00DF5FF2"/>
    <w:rsid w:val="00DF64F7"/>
    <w:rsid w:val="00DF6760"/>
    <w:rsid w:val="00E0015E"/>
    <w:rsid w:val="00E01BBE"/>
    <w:rsid w:val="00E0404E"/>
    <w:rsid w:val="00E04D98"/>
    <w:rsid w:val="00E07099"/>
    <w:rsid w:val="00E075B3"/>
    <w:rsid w:val="00E07B8E"/>
    <w:rsid w:val="00E12D00"/>
    <w:rsid w:val="00E16805"/>
    <w:rsid w:val="00E17D93"/>
    <w:rsid w:val="00E23AC0"/>
    <w:rsid w:val="00E24571"/>
    <w:rsid w:val="00E25627"/>
    <w:rsid w:val="00E31A5E"/>
    <w:rsid w:val="00E3432A"/>
    <w:rsid w:val="00E363A0"/>
    <w:rsid w:val="00E36A61"/>
    <w:rsid w:val="00E3741E"/>
    <w:rsid w:val="00E37C64"/>
    <w:rsid w:val="00E436DA"/>
    <w:rsid w:val="00E4636A"/>
    <w:rsid w:val="00E47145"/>
    <w:rsid w:val="00E501E1"/>
    <w:rsid w:val="00E51F12"/>
    <w:rsid w:val="00E52CAA"/>
    <w:rsid w:val="00E57B08"/>
    <w:rsid w:val="00E57E39"/>
    <w:rsid w:val="00E61863"/>
    <w:rsid w:val="00E640C6"/>
    <w:rsid w:val="00E66107"/>
    <w:rsid w:val="00E6689C"/>
    <w:rsid w:val="00E67DA8"/>
    <w:rsid w:val="00E7382F"/>
    <w:rsid w:val="00E75AF8"/>
    <w:rsid w:val="00E764D8"/>
    <w:rsid w:val="00E80312"/>
    <w:rsid w:val="00E82A6D"/>
    <w:rsid w:val="00E85E8F"/>
    <w:rsid w:val="00E94FC0"/>
    <w:rsid w:val="00E95166"/>
    <w:rsid w:val="00E9577D"/>
    <w:rsid w:val="00EA1ACC"/>
    <w:rsid w:val="00EA35BC"/>
    <w:rsid w:val="00EB21F8"/>
    <w:rsid w:val="00EB444C"/>
    <w:rsid w:val="00EB6A1E"/>
    <w:rsid w:val="00ED03CD"/>
    <w:rsid w:val="00ED32AA"/>
    <w:rsid w:val="00ED6C43"/>
    <w:rsid w:val="00EE5347"/>
    <w:rsid w:val="00EF0298"/>
    <w:rsid w:val="00EF11CB"/>
    <w:rsid w:val="00EF34CA"/>
    <w:rsid w:val="00F0187F"/>
    <w:rsid w:val="00F019FE"/>
    <w:rsid w:val="00F01ACF"/>
    <w:rsid w:val="00F02091"/>
    <w:rsid w:val="00F031D6"/>
    <w:rsid w:val="00F04310"/>
    <w:rsid w:val="00F04804"/>
    <w:rsid w:val="00F05E45"/>
    <w:rsid w:val="00F0735D"/>
    <w:rsid w:val="00F10F56"/>
    <w:rsid w:val="00F113F2"/>
    <w:rsid w:val="00F152B7"/>
    <w:rsid w:val="00F16384"/>
    <w:rsid w:val="00F206B3"/>
    <w:rsid w:val="00F21748"/>
    <w:rsid w:val="00F2257A"/>
    <w:rsid w:val="00F22846"/>
    <w:rsid w:val="00F2301A"/>
    <w:rsid w:val="00F23949"/>
    <w:rsid w:val="00F2427D"/>
    <w:rsid w:val="00F247F0"/>
    <w:rsid w:val="00F336F0"/>
    <w:rsid w:val="00F34180"/>
    <w:rsid w:val="00F34EC4"/>
    <w:rsid w:val="00F425C6"/>
    <w:rsid w:val="00F54A48"/>
    <w:rsid w:val="00F56388"/>
    <w:rsid w:val="00F57214"/>
    <w:rsid w:val="00F57821"/>
    <w:rsid w:val="00F627E0"/>
    <w:rsid w:val="00F63105"/>
    <w:rsid w:val="00F64983"/>
    <w:rsid w:val="00F6531D"/>
    <w:rsid w:val="00F67310"/>
    <w:rsid w:val="00F713A6"/>
    <w:rsid w:val="00F7310E"/>
    <w:rsid w:val="00F74425"/>
    <w:rsid w:val="00F76D5B"/>
    <w:rsid w:val="00F779ED"/>
    <w:rsid w:val="00F812F3"/>
    <w:rsid w:val="00F82A28"/>
    <w:rsid w:val="00F846F7"/>
    <w:rsid w:val="00F92CA4"/>
    <w:rsid w:val="00F92F9E"/>
    <w:rsid w:val="00F9417F"/>
    <w:rsid w:val="00F97F71"/>
    <w:rsid w:val="00FA1D92"/>
    <w:rsid w:val="00FA4C94"/>
    <w:rsid w:val="00FB0210"/>
    <w:rsid w:val="00FB2DE4"/>
    <w:rsid w:val="00FB32F0"/>
    <w:rsid w:val="00FB426B"/>
    <w:rsid w:val="00FB614F"/>
    <w:rsid w:val="00FC0CBA"/>
    <w:rsid w:val="00FC1C0A"/>
    <w:rsid w:val="00FC6690"/>
    <w:rsid w:val="00FC704F"/>
    <w:rsid w:val="00FD2985"/>
    <w:rsid w:val="00FD5991"/>
    <w:rsid w:val="00FD5D95"/>
    <w:rsid w:val="00FD73AF"/>
    <w:rsid w:val="00FE0102"/>
    <w:rsid w:val="00FE1822"/>
    <w:rsid w:val="00FE4901"/>
    <w:rsid w:val="00FE520F"/>
    <w:rsid w:val="00FE5520"/>
    <w:rsid w:val="00FE65A3"/>
    <w:rsid w:val="00FE7E39"/>
    <w:rsid w:val="00FF12BB"/>
    <w:rsid w:val="00FF4527"/>
    <w:rsid w:val="00FF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white,#ffc"/>
      <o:colormenu v:ext="edit" fillcolor="none"/>
    </o:shapedefaults>
    <o:shapelayout v:ext="edit">
      <o:idmap v:ext="edit" data="1"/>
    </o:shapelayout>
  </w:shapeDefaults>
  <w:decimalSymbol w:val=","/>
  <w:listSeparator w:val=";"/>
  <w14:docId w14:val="7E811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B8"/>
    <w:pPr>
      <w:spacing w:after="120" w:line="276" w:lineRule="auto"/>
      <w:jc w:val="both"/>
    </w:pPr>
    <w:rPr>
      <w:rFonts w:ascii="Cambria" w:eastAsia="Times New Roman" w:hAnsi="Cambria" w:cs="Courier New"/>
      <w:snapToGrid w:val="0"/>
      <w:szCs w:val="24"/>
      <w:lang w:val="en-GB"/>
    </w:rPr>
  </w:style>
  <w:style w:type="paragraph" w:styleId="Heading1">
    <w:name w:val="heading 1"/>
    <w:basedOn w:val="Normal"/>
    <w:next w:val="Normal"/>
    <w:link w:val="Heading1Char"/>
    <w:qFormat/>
    <w:rsid w:val="00C724EE"/>
    <w:pPr>
      <w:keepNext/>
      <w:keepLines/>
      <w:numPr>
        <w:numId w:val="1"/>
      </w:numPr>
      <w:spacing w:before="240"/>
      <w:contextualSpacing/>
      <w:outlineLvl w:val="0"/>
    </w:pPr>
    <w:rPr>
      <w:rFonts w:eastAsiaTheme="minorHAnsi" w:cs="Times New Roman"/>
      <w:b/>
      <w:snapToGrid/>
      <w:szCs w:val="22"/>
    </w:rPr>
  </w:style>
  <w:style w:type="paragraph" w:styleId="Heading2">
    <w:name w:val="heading 2"/>
    <w:basedOn w:val="Normal"/>
    <w:next w:val="Normal"/>
    <w:link w:val="Heading2Char"/>
    <w:uiPriority w:val="9"/>
    <w:qFormat/>
    <w:rsid w:val="00C724EE"/>
    <w:pPr>
      <w:numPr>
        <w:ilvl w:val="1"/>
        <w:numId w:val="1"/>
      </w:numPr>
      <w:ind w:left="578" w:hanging="578"/>
      <w:outlineLvl w:val="1"/>
    </w:pPr>
    <w:rPr>
      <w:rFonts w:eastAsiaTheme="minorHAnsi" w:cs="Times New Roman"/>
      <w:snapToGrid/>
      <w:szCs w:val="22"/>
      <w:u w:val="single"/>
    </w:rPr>
  </w:style>
  <w:style w:type="paragraph" w:styleId="Heading3">
    <w:name w:val="heading 3"/>
    <w:basedOn w:val="Heading2"/>
    <w:next w:val="BodyText"/>
    <w:link w:val="Heading3Char"/>
    <w:qFormat/>
    <w:rsid w:val="00EF11CB"/>
    <w:pPr>
      <w:keepLines/>
      <w:numPr>
        <w:ilvl w:val="2"/>
      </w:numPr>
      <w:tabs>
        <w:tab w:val="left" w:pos="1134"/>
      </w:tabs>
      <w:spacing w:before="120"/>
      <w:outlineLvl w:val="2"/>
    </w:pPr>
    <w:rPr>
      <w:b/>
      <w:i/>
      <w:kern w:val="28"/>
      <w:sz w:val="28"/>
    </w:rPr>
  </w:style>
  <w:style w:type="paragraph" w:styleId="Heading4">
    <w:name w:val="heading 4"/>
    <w:basedOn w:val="Normal"/>
    <w:next w:val="Normal"/>
    <w:link w:val="Heading4Char"/>
    <w:uiPriority w:val="9"/>
    <w:unhideWhenUsed/>
    <w:qFormat/>
    <w:rsid w:val="00EF11CB"/>
    <w:pPr>
      <w:keepNext/>
      <w:keepLines/>
      <w:numPr>
        <w:ilvl w:val="3"/>
        <w:numId w:val="1"/>
      </w:numPr>
      <w:spacing w:before="40"/>
      <w:outlineLvl w:val="3"/>
    </w:pPr>
    <w:rPr>
      <w:rFonts w:asciiTheme="majorHAnsi" w:eastAsiaTheme="majorEastAsia" w:hAnsiTheme="majorHAnsi" w:cstheme="majorBidi"/>
      <w:i/>
      <w:iCs/>
      <w:snapToGrid/>
      <w:color w:val="2E74B5" w:themeColor="accent1" w:themeShade="BF"/>
      <w:szCs w:val="22"/>
      <w:lang w:val="ru-RU"/>
    </w:rPr>
  </w:style>
  <w:style w:type="paragraph" w:styleId="Heading5">
    <w:name w:val="heading 5"/>
    <w:basedOn w:val="Normal"/>
    <w:next w:val="Normal"/>
    <w:link w:val="Heading5Char"/>
    <w:uiPriority w:val="9"/>
    <w:unhideWhenUsed/>
    <w:qFormat/>
    <w:rsid w:val="00EF11C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4EE"/>
    <w:rPr>
      <w:rFonts w:ascii="Cambria" w:hAnsi="Cambria" w:cs="Times New Roman"/>
      <w:b/>
      <w:lang w:val="en-GB"/>
    </w:rPr>
  </w:style>
  <w:style w:type="character" w:customStyle="1" w:styleId="Heading2Char">
    <w:name w:val="Heading 2 Char"/>
    <w:basedOn w:val="DefaultParagraphFont"/>
    <w:link w:val="Heading2"/>
    <w:uiPriority w:val="9"/>
    <w:rsid w:val="00C724EE"/>
    <w:rPr>
      <w:rFonts w:ascii="Cambria" w:hAnsi="Cambria" w:cs="Times New Roman"/>
      <w:u w:val="single"/>
      <w:lang w:val="en-GB"/>
    </w:rPr>
  </w:style>
  <w:style w:type="paragraph" w:styleId="BodyText">
    <w:name w:val="Body Text"/>
    <w:basedOn w:val="Normal"/>
    <w:link w:val="BodyTextChar"/>
    <w:semiHidden/>
    <w:unhideWhenUsed/>
    <w:rsid w:val="00EF11CB"/>
    <w:rPr>
      <w:rFonts w:asciiTheme="minorHAnsi" w:eastAsiaTheme="minorHAnsi" w:hAnsiTheme="minorHAnsi" w:cstheme="minorBidi"/>
      <w:snapToGrid/>
      <w:szCs w:val="22"/>
      <w:lang w:val="ru-RU"/>
    </w:rPr>
  </w:style>
  <w:style w:type="character" w:customStyle="1" w:styleId="BodyTextChar">
    <w:name w:val="Body Text Char"/>
    <w:basedOn w:val="DefaultParagraphFont"/>
    <w:link w:val="BodyText"/>
    <w:semiHidden/>
    <w:rsid w:val="00EF11CB"/>
  </w:style>
  <w:style w:type="character" w:customStyle="1" w:styleId="Heading3Char">
    <w:name w:val="Heading 3 Char"/>
    <w:basedOn w:val="DefaultParagraphFont"/>
    <w:link w:val="Heading3"/>
    <w:rsid w:val="00EF11CB"/>
    <w:rPr>
      <w:rFonts w:ascii="Cambria" w:hAnsi="Cambria" w:cs="Times New Roman"/>
      <w:b/>
      <w:i/>
      <w:kern w:val="28"/>
      <w:sz w:val="28"/>
      <w:u w:val="single"/>
      <w:lang w:val="en-GB"/>
    </w:rPr>
  </w:style>
  <w:style w:type="character" w:customStyle="1" w:styleId="Heading4Char">
    <w:name w:val="Heading 4 Char"/>
    <w:basedOn w:val="DefaultParagraphFont"/>
    <w:link w:val="Heading4"/>
    <w:uiPriority w:val="9"/>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F11CB"/>
    <w:rPr>
      <w:rFonts w:asciiTheme="majorHAnsi" w:eastAsiaTheme="majorEastAsia" w:hAnsiTheme="majorHAnsi" w:cstheme="majorBidi"/>
      <w:snapToGrid w:val="0"/>
      <w:color w:val="2E74B5" w:themeColor="accent1" w:themeShade="BF"/>
      <w:szCs w:val="24"/>
      <w:lang w:val="en-US"/>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snapToGrid w:val="0"/>
      <w:color w:val="1F4D78" w:themeColor="accent1" w:themeShade="7F"/>
      <w:szCs w:val="24"/>
      <w:lang w:val="en-US"/>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snapToGrid w:val="0"/>
      <w:color w:val="1F4D78" w:themeColor="accent1" w:themeShade="7F"/>
      <w:szCs w:val="24"/>
      <w:lang w:val="en-US"/>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snapToGrid w:val="0"/>
      <w:color w:val="272727" w:themeColor="text1" w:themeTint="D8"/>
      <w:sz w:val="21"/>
      <w:szCs w:val="21"/>
      <w:lang w:val="en-US"/>
    </w:rPr>
  </w:style>
  <w:style w:type="paragraph" w:styleId="BalloonText">
    <w:name w:val="Balloon Text"/>
    <w:basedOn w:val="Normal"/>
    <w:link w:val="BalloonTextChar"/>
    <w:semiHidden/>
    <w:unhideWhenUsed/>
    <w:rsid w:val="003B4947"/>
    <w:rPr>
      <w:rFonts w:ascii="Segoe UI" w:hAnsi="Segoe UI" w:cs="Segoe UI"/>
      <w:sz w:val="18"/>
      <w:szCs w:val="18"/>
    </w:rPr>
  </w:style>
  <w:style w:type="character" w:customStyle="1" w:styleId="BalloonTextChar">
    <w:name w:val="Balloon Text Char"/>
    <w:basedOn w:val="DefaultParagraphFont"/>
    <w:link w:val="BalloonText"/>
    <w:semiHidden/>
    <w:rsid w:val="003B4947"/>
    <w:rPr>
      <w:rFonts w:ascii="Segoe UI" w:hAnsi="Segoe UI" w:cs="Segoe UI"/>
      <w:sz w:val="18"/>
      <w:szCs w:val="18"/>
    </w:rPr>
  </w:style>
  <w:style w:type="paragraph" w:styleId="Header">
    <w:name w:val="header"/>
    <w:basedOn w:val="Normal"/>
    <w:link w:val="HeaderChar"/>
    <w:unhideWhenUsed/>
    <w:rsid w:val="00137044"/>
    <w:pPr>
      <w:spacing w:after="0" w:line="240" w:lineRule="auto"/>
      <w:jc w:val="right"/>
    </w:pPr>
    <w:rPr>
      <w:sz w:val="20"/>
      <w:szCs w:val="20"/>
    </w:rPr>
  </w:style>
  <w:style w:type="character" w:customStyle="1" w:styleId="HeaderChar">
    <w:name w:val="Header Char"/>
    <w:basedOn w:val="DefaultParagraphFont"/>
    <w:link w:val="Header"/>
    <w:rsid w:val="00137044"/>
    <w:rPr>
      <w:rFonts w:ascii="Cambria" w:eastAsia="Times New Roman" w:hAnsi="Cambria" w:cs="Courier New"/>
      <w:snapToGrid w:val="0"/>
      <w:sz w:val="20"/>
      <w:szCs w:val="20"/>
      <w:lang w:val="en-US"/>
    </w:rPr>
  </w:style>
  <w:style w:type="paragraph" w:styleId="Footer">
    <w:name w:val="footer"/>
    <w:basedOn w:val="Normal"/>
    <w:link w:val="FooterChar"/>
    <w:uiPriority w:val="99"/>
    <w:unhideWhenUsed/>
    <w:rsid w:val="00137044"/>
    <w:pPr>
      <w:tabs>
        <w:tab w:val="center" w:pos="4677"/>
        <w:tab w:val="right" w:pos="9355"/>
      </w:tabs>
      <w:spacing w:after="0"/>
    </w:pPr>
    <w:rPr>
      <w:rFonts w:asciiTheme="minorHAnsi" w:eastAsiaTheme="minorHAnsi" w:hAnsiTheme="minorHAnsi" w:cstheme="minorBidi"/>
      <w:snapToGrid/>
      <w:szCs w:val="22"/>
      <w:lang w:val="ru-RU"/>
    </w:rPr>
  </w:style>
  <w:style w:type="character" w:customStyle="1" w:styleId="FooterChar">
    <w:name w:val="Footer Char"/>
    <w:basedOn w:val="DefaultParagraphFont"/>
    <w:link w:val="Footer"/>
    <w:uiPriority w:val="99"/>
    <w:rsid w:val="00137044"/>
  </w:style>
  <w:style w:type="character" w:styleId="Hyperlink">
    <w:name w:val="Hyperlink"/>
    <w:basedOn w:val="DefaultParagraphFont"/>
    <w:uiPriority w:val="99"/>
    <w:unhideWhenUsed/>
    <w:rsid w:val="00291E4F"/>
    <w:rPr>
      <w:color w:val="0563C1" w:themeColor="hyperlink"/>
      <w:u w:val="single"/>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styleId="TableGrid">
    <w:name w:val="Table Grid"/>
    <w:basedOn w:val="TableNormal"/>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775A"/>
    <w:rPr>
      <w:i/>
      <w:iCs/>
    </w:rPr>
  </w:style>
  <w:style w:type="paragraph" w:styleId="ListParagraph">
    <w:name w:val="List Paragraph"/>
    <w:basedOn w:val="Normal"/>
    <w:uiPriority w:val="34"/>
    <w:qFormat/>
    <w:rsid w:val="006940EA"/>
    <w:pPr>
      <w:numPr>
        <w:numId w:val="3"/>
      </w:numPr>
      <w:autoSpaceDE w:val="0"/>
      <w:autoSpaceDN w:val="0"/>
      <w:adjustRightInd w:val="0"/>
      <w:contextualSpacing/>
    </w:pPr>
    <w:rPr>
      <w:rFonts w:eastAsiaTheme="minorHAnsi" w:cs="Times New Roman"/>
      <w:bCs/>
      <w:szCs w:val="22"/>
    </w:rPr>
  </w:style>
  <w:style w:type="character" w:styleId="PlaceholderText">
    <w:name w:val="Placeholder Text"/>
    <w:basedOn w:val="DefaultParagraphFont"/>
    <w:uiPriority w:val="99"/>
    <w:semiHidden/>
    <w:rsid w:val="001D1F9A"/>
    <w:rPr>
      <w:color w:val="808080"/>
    </w:rPr>
  </w:style>
  <w:style w:type="character" w:styleId="CommentReference">
    <w:name w:val="annotation reference"/>
    <w:basedOn w:val="DefaultParagraphFont"/>
    <w:uiPriority w:val="99"/>
    <w:semiHidden/>
    <w:unhideWhenUsed/>
    <w:rsid w:val="004D1DAA"/>
    <w:rPr>
      <w:sz w:val="16"/>
      <w:szCs w:val="16"/>
    </w:rPr>
  </w:style>
  <w:style w:type="paragraph" w:styleId="CommentText">
    <w:name w:val="annotation text"/>
    <w:basedOn w:val="Normal"/>
    <w:link w:val="CommentTextChar"/>
    <w:uiPriority w:val="99"/>
    <w:unhideWhenUsed/>
    <w:qFormat/>
    <w:rsid w:val="004D1DAA"/>
    <w:pPr>
      <w:spacing w:line="240" w:lineRule="auto"/>
    </w:pPr>
    <w:rPr>
      <w:rFonts w:eastAsia="Batang" w:cstheme="minorBidi"/>
      <w:snapToGrid/>
      <w:sz w:val="20"/>
      <w:szCs w:val="20"/>
    </w:rPr>
  </w:style>
  <w:style w:type="character" w:customStyle="1" w:styleId="CommentTextChar">
    <w:name w:val="Comment Text Char"/>
    <w:basedOn w:val="DefaultParagraphFont"/>
    <w:link w:val="CommentText"/>
    <w:uiPriority w:val="99"/>
    <w:qFormat/>
    <w:rsid w:val="004D1DAA"/>
    <w:rPr>
      <w:rFonts w:ascii="Times New Roman" w:eastAsia="Batang"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4D1DAA"/>
    <w:rPr>
      <w:b/>
      <w:bCs/>
    </w:rPr>
  </w:style>
  <w:style w:type="character" w:customStyle="1" w:styleId="CommentSubjectChar">
    <w:name w:val="Comment Subject Char"/>
    <w:basedOn w:val="CommentTextChar"/>
    <w:link w:val="CommentSubject"/>
    <w:uiPriority w:val="99"/>
    <w:semiHidden/>
    <w:rsid w:val="004D1DAA"/>
    <w:rPr>
      <w:rFonts w:ascii="Times New Roman" w:eastAsia="Batang" w:hAnsi="Times New Roman"/>
      <w:b/>
      <w:bCs/>
      <w:sz w:val="20"/>
      <w:szCs w:val="20"/>
      <w:lang w:val="en-GB"/>
    </w:rPr>
  </w:style>
  <w:style w:type="paragraph" w:styleId="Title">
    <w:name w:val="Title"/>
    <w:basedOn w:val="NoSpacing"/>
    <w:next w:val="Normal"/>
    <w:link w:val="TitleChar"/>
    <w:uiPriority w:val="10"/>
    <w:qFormat/>
    <w:rsid w:val="00D621D3"/>
    <w:pPr>
      <w:framePr w:hSpace="187" w:wrap="around" w:vAnchor="page" w:hAnchor="margin" w:y="3916"/>
      <w:spacing w:before="240" w:line="360" w:lineRule="auto"/>
    </w:pPr>
    <w:rPr>
      <w:rFonts w:ascii="Cambria" w:eastAsia="Batang" w:hAnsi="Cambria"/>
      <w:sz w:val="72"/>
      <w:szCs w:val="72"/>
      <w:lang w:val="en-GB"/>
    </w:rPr>
  </w:style>
  <w:style w:type="character" w:customStyle="1" w:styleId="TitleChar">
    <w:name w:val="Title Char"/>
    <w:basedOn w:val="DefaultParagraphFont"/>
    <w:link w:val="Title"/>
    <w:uiPriority w:val="10"/>
    <w:rsid w:val="00D621D3"/>
    <w:rPr>
      <w:rFonts w:ascii="Cambria" w:eastAsia="Batang" w:hAnsi="Cambria" w:cs="Times New Roman"/>
      <w:sz w:val="72"/>
      <w:szCs w:val="72"/>
      <w:lang w:val="en-GB" w:bidi="en-US"/>
    </w:rPr>
  </w:style>
  <w:style w:type="character" w:styleId="FollowedHyperlink">
    <w:name w:val="FollowedHyperlink"/>
    <w:basedOn w:val="DefaultParagraphFont"/>
    <w:uiPriority w:val="99"/>
    <w:semiHidden/>
    <w:unhideWhenUsed/>
    <w:rsid w:val="004D1DAA"/>
    <w:rPr>
      <w:color w:val="954F72" w:themeColor="followedHyperlink"/>
      <w:u w:val="single"/>
    </w:rPr>
  </w:style>
  <w:style w:type="paragraph" w:styleId="Revision">
    <w:name w:val="Revision"/>
    <w:hidden/>
    <w:uiPriority w:val="99"/>
    <w:semiHidden/>
    <w:rsid w:val="004D1DAA"/>
    <w:pPr>
      <w:spacing w:after="0" w:line="240" w:lineRule="auto"/>
    </w:pPr>
    <w:rPr>
      <w:rFonts w:eastAsia="Batang"/>
    </w:rPr>
  </w:style>
  <w:style w:type="paragraph" w:styleId="FootnoteText">
    <w:name w:val="footnote text"/>
    <w:basedOn w:val="Normal"/>
    <w:link w:val="FootnoteTextChar"/>
    <w:uiPriority w:val="99"/>
    <w:semiHidden/>
    <w:unhideWhenUsed/>
    <w:rsid w:val="008D5D11"/>
    <w:pPr>
      <w:spacing w:after="0"/>
      <w:jc w:val="left"/>
    </w:pPr>
    <w:rPr>
      <w:rFonts w:eastAsia="Batang" w:cstheme="minorBidi"/>
      <w:snapToGrid/>
      <w:sz w:val="20"/>
      <w:szCs w:val="20"/>
    </w:rPr>
  </w:style>
  <w:style w:type="character" w:customStyle="1" w:styleId="FootnoteTextChar">
    <w:name w:val="Footnote Text Char"/>
    <w:basedOn w:val="DefaultParagraphFont"/>
    <w:link w:val="FootnoteText"/>
    <w:uiPriority w:val="99"/>
    <w:semiHidden/>
    <w:rsid w:val="008D5D11"/>
    <w:rPr>
      <w:rFonts w:ascii="Cambria" w:eastAsia="Batang" w:hAnsi="Cambria"/>
      <w:sz w:val="20"/>
      <w:szCs w:val="20"/>
      <w:lang w:val="en-GB"/>
    </w:rPr>
  </w:style>
  <w:style w:type="character" w:styleId="FootnoteReference">
    <w:name w:val="footnote reference"/>
    <w:basedOn w:val="DefaultParagraphFont"/>
    <w:uiPriority w:val="99"/>
    <w:semiHidden/>
    <w:unhideWhenUsed/>
    <w:rsid w:val="004D1DAA"/>
    <w:rPr>
      <w:vertAlign w:val="superscript"/>
    </w:rPr>
  </w:style>
  <w:style w:type="character" w:styleId="Strong">
    <w:name w:val="Strong"/>
    <w:basedOn w:val="DefaultParagraphFont"/>
    <w:uiPriority w:val="22"/>
    <w:qFormat/>
    <w:rsid w:val="004D1DAA"/>
    <w:rPr>
      <w:b/>
      <w:bCs/>
    </w:rPr>
  </w:style>
  <w:style w:type="character" w:styleId="PageNumber">
    <w:name w:val="page number"/>
    <w:basedOn w:val="DefaultParagraphFont"/>
    <w:uiPriority w:val="99"/>
    <w:semiHidden/>
    <w:unhideWhenUsed/>
    <w:rsid w:val="004D1DAA"/>
  </w:style>
  <w:style w:type="paragraph" w:customStyle="1" w:styleId="2">
    <w:name w:val="Название_уровень_2"/>
    <w:basedOn w:val="Normal"/>
    <w:qFormat/>
    <w:rsid w:val="00E6689C"/>
    <w:pPr>
      <w:keepNext/>
      <w:pageBreakBefore/>
      <w:spacing w:after="240" w:line="360" w:lineRule="auto"/>
      <w:jc w:val="center"/>
    </w:pPr>
    <w:rPr>
      <w:rFonts w:eastAsia="Batang" w:cs="Times New Roman"/>
      <w:b/>
      <w:caps/>
      <w:snapToGrid/>
    </w:rPr>
  </w:style>
  <w:style w:type="paragraph" w:styleId="TOC1">
    <w:name w:val="toc 1"/>
    <w:basedOn w:val="Normal"/>
    <w:next w:val="Normal"/>
    <w:autoRedefine/>
    <w:uiPriority w:val="39"/>
    <w:unhideWhenUsed/>
    <w:rsid w:val="007E35D3"/>
    <w:pPr>
      <w:tabs>
        <w:tab w:val="left" w:pos="440"/>
        <w:tab w:val="right" w:leader="dot" w:pos="9911"/>
      </w:tabs>
      <w:spacing w:after="100"/>
    </w:pPr>
    <w:rPr>
      <w:rFonts w:eastAsia="Batang" w:cstheme="minorBidi"/>
      <w:snapToGrid/>
      <w:szCs w:val="22"/>
    </w:rPr>
  </w:style>
  <w:style w:type="paragraph" w:styleId="NormalWeb">
    <w:name w:val="Normal (Web)"/>
    <w:basedOn w:val="Normal"/>
    <w:uiPriority w:val="99"/>
    <w:semiHidden/>
    <w:unhideWhenUsed/>
    <w:rsid w:val="004D1DAA"/>
    <w:pPr>
      <w:spacing w:before="100" w:beforeAutospacing="1" w:after="100" w:afterAutospacing="1" w:line="240" w:lineRule="auto"/>
    </w:pPr>
    <w:rPr>
      <w:rFonts w:cs="Times New Roman"/>
      <w:snapToGrid/>
      <w:lang w:val="ru-RU" w:eastAsia="ru-RU"/>
    </w:rPr>
  </w:style>
  <w:style w:type="paragraph" w:styleId="EndnoteText">
    <w:name w:val="endnote text"/>
    <w:basedOn w:val="Normal"/>
    <w:link w:val="EndnoteTextChar"/>
    <w:uiPriority w:val="99"/>
    <w:semiHidden/>
    <w:unhideWhenUsed/>
    <w:rsid w:val="004D1DAA"/>
    <w:pPr>
      <w:spacing w:line="240" w:lineRule="auto"/>
    </w:pPr>
    <w:rPr>
      <w:rFonts w:eastAsia="Batang" w:cstheme="minorBidi"/>
      <w:snapToGrid/>
      <w:sz w:val="20"/>
      <w:szCs w:val="20"/>
    </w:rPr>
  </w:style>
  <w:style w:type="character" w:customStyle="1" w:styleId="EndnoteTextChar">
    <w:name w:val="Endnote Text Char"/>
    <w:basedOn w:val="DefaultParagraphFont"/>
    <w:link w:val="EndnoteText"/>
    <w:uiPriority w:val="99"/>
    <w:semiHidden/>
    <w:rsid w:val="004D1DAA"/>
    <w:rPr>
      <w:rFonts w:ascii="Times New Roman" w:eastAsia="Batang" w:hAnsi="Times New Roman"/>
      <w:sz w:val="20"/>
      <w:szCs w:val="20"/>
      <w:lang w:val="en-GB"/>
    </w:rPr>
  </w:style>
  <w:style w:type="character" w:styleId="EndnoteReference">
    <w:name w:val="endnote reference"/>
    <w:basedOn w:val="DefaultParagraphFont"/>
    <w:uiPriority w:val="99"/>
    <w:semiHidden/>
    <w:unhideWhenUsed/>
    <w:rsid w:val="004D1DAA"/>
    <w:rPr>
      <w:vertAlign w:val="superscript"/>
    </w:rPr>
  </w:style>
  <w:style w:type="paragraph" w:styleId="List4">
    <w:name w:val="List 4"/>
    <w:basedOn w:val="Normal"/>
    <w:uiPriority w:val="99"/>
    <w:semiHidden/>
    <w:unhideWhenUsed/>
    <w:rsid w:val="00AF757A"/>
    <w:pPr>
      <w:tabs>
        <w:tab w:val="num" w:pos="567"/>
      </w:tabs>
      <w:ind w:left="2268" w:hanging="567"/>
      <w:contextualSpacing/>
      <w:jc w:val="left"/>
    </w:pPr>
  </w:style>
  <w:style w:type="paragraph" w:customStyle="1" w:styleId="Spreadsheet">
    <w:name w:val="Spreadsheet"/>
    <w:basedOn w:val="Normal"/>
    <w:qFormat/>
    <w:rsid w:val="005F0355"/>
    <w:pPr>
      <w:spacing w:after="0"/>
      <w:jc w:val="center"/>
    </w:pPr>
    <w:rPr>
      <w:rFonts w:cs="Times New Roman"/>
    </w:rPr>
  </w:style>
  <w:style w:type="paragraph" w:customStyle="1" w:styleId="a">
    <w:name w:val="Стиль По ширине"/>
    <w:basedOn w:val="Normal"/>
    <w:rsid w:val="00AF757A"/>
    <w:rPr>
      <w:rFonts w:cs="Times New Roman"/>
      <w:szCs w:val="20"/>
    </w:rPr>
  </w:style>
  <w:style w:type="paragraph" w:styleId="TOCHeading">
    <w:name w:val="TOC Heading"/>
    <w:basedOn w:val="Heading1"/>
    <w:next w:val="Normal"/>
    <w:uiPriority w:val="39"/>
    <w:unhideWhenUsed/>
    <w:qFormat/>
    <w:rsid w:val="00AC13C4"/>
    <w:pPr>
      <w:numPr>
        <w:numId w:val="0"/>
      </w:numPr>
      <w:spacing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en-GB"/>
    </w:rPr>
  </w:style>
  <w:style w:type="paragraph" w:customStyle="1" w:styleId="a0">
    <w:name w:val="Абзац_без_номера"/>
    <w:basedOn w:val="Normal"/>
    <w:qFormat/>
    <w:rsid w:val="008C0D80"/>
    <w:pPr>
      <w:ind w:firstLine="567"/>
    </w:pPr>
    <w:rPr>
      <w:rFonts w:eastAsiaTheme="minorHAnsi" w:cs="Times New Roman"/>
      <w:bCs/>
      <w:snapToGrid/>
      <w:szCs w:val="22"/>
    </w:rPr>
  </w:style>
  <w:style w:type="character" w:customStyle="1" w:styleId="UnresolvedMention1">
    <w:name w:val="Unresolved Mention1"/>
    <w:basedOn w:val="DefaultParagraphFont"/>
    <w:uiPriority w:val="99"/>
    <w:semiHidden/>
    <w:unhideWhenUsed/>
    <w:rsid w:val="00FB2DE4"/>
    <w:rPr>
      <w:color w:val="605E5C"/>
      <w:shd w:val="clear" w:color="auto" w:fill="E1DFDD"/>
    </w:rPr>
  </w:style>
  <w:style w:type="paragraph" w:customStyle="1" w:styleId="Listlevel5">
    <w:name w:val="List_level_5"/>
    <w:basedOn w:val="Listlevel4"/>
    <w:qFormat/>
    <w:rsid w:val="008C0D80"/>
    <w:pPr>
      <w:ind w:left="2268"/>
    </w:pPr>
  </w:style>
  <w:style w:type="paragraph" w:customStyle="1" w:styleId="Listlevel3">
    <w:name w:val="List_level_3"/>
    <w:basedOn w:val="Normal"/>
    <w:qFormat/>
    <w:rsid w:val="007E2D21"/>
    <w:pPr>
      <w:numPr>
        <w:ilvl w:val="2"/>
        <w:numId w:val="4"/>
      </w:numPr>
    </w:pPr>
    <w:rPr>
      <w:rFonts w:eastAsiaTheme="minorHAnsi" w:cs="Times New Roman"/>
      <w:bCs/>
      <w:snapToGrid/>
      <w:szCs w:val="22"/>
    </w:rPr>
  </w:style>
  <w:style w:type="paragraph" w:customStyle="1" w:styleId="Listlevel4">
    <w:name w:val="List_level_4"/>
    <w:basedOn w:val="Normal"/>
    <w:qFormat/>
    <w:rsid w:val="00217982"/>
    <w:pPr>
      <w:numPr>
        <w:ilvl w:val="3"/>
        <w:numId w:val="4"/>
      </w:numPr>
      <w:contextualSpacing/>
    </w:pPr>
    <w:rPr>
      <w:rFonts w:eastAsiaTheme="minorHAnsi" w:cs="Times New Roman"/>
      <w:snapToGrid/>
    </w:rPr>
  </w:style>
  <w:style w:type="paragraph" w:styleId="ListBullet">
    <w:name w:val="List Bullet"/>
    <w:basedOn w:val="Normal"/>
    <w:uiPriority w:val="24"/>
    <w:qFormat/>
    <w:rsid w:val="008C0D80"/>
    <w:pPr>
      <w:numPr>
        <w:numId w:val="5"/>
      </w:numPr>
      <w:spacing w:before="120"/>
    </w:pPr>
    <w:rPr>
      <w:rFonts w:ascii="Calibri" w:hAnsi="Calibri" w:cs="Times New Roman"/>
      <w:snapToGrid/>
      <w:sz w:val="24"/>
      <w:szCs w:val="20"/>
    </w:rPr>
  </w:style>
  <w:style w:type="paragraph" w:styleId="ListBullet2">
    <w:name w:val="List Bullet 2"/>
    <w:basedOn w:val="Normal"/>
    <w:uiPriority w:val="24"/>
    <w:qFormat/>
    <w:rsid w:val="008C0D80"/>
    <w:pPr>
      <w:numPr>
        <w:ilvl w:val="1"/>
        <w:numId w:val="5"/>
      </w:numPr>
      <w:spacing w:before="120"/>
    </w:pPr>
    <w:rPr>
      <w:rFonts w:ascii="Calibri" w:hAnsi="Calibri" w:cs="Times New Roman"/>
      <w:snapToGrid/>
      <w:sz w:val="24"/>
      <w:szCs w:val="20"/>
    </w:rPr>
  </w:style>
  <w:style w:type="paragraph" w:styleId="ListBullet3">
    <w:name w:val="List Bullet 3"/>
    <w:basedOn w:val="Normal"/>
    <w:uiPriority w:val="24"/>
    <w:qFormat/>
    <w:rsid w:val="008C0D80"/>
    <w:pPr>
      <w:numPr>
        <w:ilvl w:val="2"/>
        <w:numId w:val="5"/>
      </w:numPr>
      <w:spacing w:before="120"/>
    </w:pPr>
    <w:rPr>
      <w:rFonts w:ascii="Calibri" w:hAnsi="Calibri" w:cs="Times New Roman"/>
      <w:snapToGrid/>
      <w:sz w:val="24"/>
      <w:szCs w:val="20"/>
    </w:rPr>
  </w:style>
  <w:style w:type="paragraph" w:styleId="ListBullet4">
    <w:name w:val="List Bullet 4"/>
    <w:basedOn w:val="Normal"/>
    <w:uiPriority w:val="24"/>
    <w:semiHidden/>
    <w:unhideWhenUsed/>
    <w:rsid w:val="008C0D80"/>
    <w:pPr>
      <w:numPr>
        <w:ilvl w:val="3"/>
        <w:numId w:val="5"/>
      </w:numPr>
      <w:spacing w:before="120"/>
    </w:pPr>
    <w:rPr>
      <w:rFonts w:ascii="Calibri" w:hAnsi="Calibri" w:cs="Times New Roman"/>
      <w:snapToGrid/>
      <w:sz w:val="24"/>
      <w:szCs w:val="20"/>
    </w:rPr>
  </w:style>
  <w:style w:type="paragraph" w:styleId="ListBullet5">
    <w:name w:val="List Bullet 5"/>
    <w:basedOn w:val="Normal"/>
    <w:uiPriority w:val="24"/>
    <w:semiHidden/>
    <w:unhideWhenUsed/>
    <w:rsid w:val="008C0D80"/>
    <w:pPr>
      <w:numPr>
        <w:ilvl w:val="4"/>
        <w:numId w:val="5"/>
      </w:numPr>
      <w:spacing w:before="120"/>
    </w:pPr>
    <w:rPr>
      <w:rFonts w:ascii="Calibri" w:hAnsi="Calibri" w:cs="Times New Roman"/>
      <w:snapToGrid/>
      <w:sz w:val="24"/>
      <w:szCs w:val="20"/>
    </w:rPr>
  </w:style>
  <w:style w:type="paragraph" w:customStyle="1" w:styleId="Listlevel2">
    <w:name w:val="List_level_2"/>
    <w:basedOn w:val="ListParagraph"/>
    <w:qFormat/>
    <w:rsid w:val="006940EA"/>
    <w:pPr>
      <w:numPr>
        <w:ilvl w:val="1"/>
        <w:numId w:val="4"/>
      </w:numPr>
      <w:contextualSpacing w:val="0"/>
    </w:pPr>
    <w:rPr>
      <w:bCs w:val="0"/>
      <w:snapToGrid/>
    </w:rPr>
  </w:style>
  <w:style w:type="character" w:customStyle="1" w:styleId="text">
    <w:name w:val="text"/>
    <w:basedOn w:val="DefaultParagraphFont"/>
    <w:rsid w:val="00F113F2"/>
  </w:style>
  <w:style w:type="paragraph" w:customStyle="1" w:styleId="Listlevel2withoutnumber">
    <w:name w:val="List_level_2_without_number"/>
    <w:basedOn w:val="Listlevel2"/>
    <w:qFormat/>
    <w:rsid w:val="00433B16"/>
    <w:pPr>
      <w:numPr>
        <w:ilvl w:val="0"/>
        <w:numId w:val="0"/>
      </w:numPr>
      <w:ind w:firstLine="567"/>
    </w:pPr>
  </w:style>
  <w:style w:type="paragraph" w:customStyle="1" w:styleId="Versioncontrollist">
    <w:name w:val="Version_control_list"/>
    <w:basedOn w:val="Spreadsheet"/>
    <w:qFormat/>
    <w:rsid w:val="0095141B"/>
    <w:pPr>
      <w:keepNext/>
      <w:numPr>
        <w:numId w:val="28"/>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489">
      <w:bodyDiv w:val="1"/>
      <w:marLeft w:val="0"/>
      <w:marRight w:val="0"/>
      <w:marTop w:val="0"/>
      <w:marBottom w:val="0"/>
      <w:divBdr>
        <w:top w:val="none" w:sz="0" w:space="0" w:color="auto"/>
        <w:left w:val="none" w:sz="0" w:space="0" w:color="auto"/>
        <w:bottom w:val="none" w:sz="0" w:space="0" w:color="auto"/>
        <w:right w:val="none" w:sz="0" w:space="0" w:color="auto"/>
      </w:divBdr>
    </w:div>
    <w:div w:id="274025481">
      <w:bodyDiv w:val="1"/>
      <w:marLeft w:val="0"/>
      <w:marRight w:val="0"/>
      <w:marTop w:val="0"/>
      <w:marBottom w:val="0"/>
      <w:divBdr>
        <w:top w:val="none" w:sz="0" w:space="0" w:color="auto"/>
        <w:left w:val="none" w:sz="0" w:space="0" w:color="auto"/>
        <w:bottom w:val="none" w:sz="0" w:space="0" w:color="auto"/>
        <w:right w:val="none" w:sz="0" w:space="0" w:color="auto"/>
      </w:divBdr>
    </w:div>
    <w:div w:id="487596157">
      <w:bodyDiv w:val="1"/>
      <w:marLeft w:val="0"/>
      <w:marRight w:val="0"/>
      <w:marTop w:val="0"/>
      <w:marBottom w:val="0"/>
      <w:divBdr>
        <w:top w:val="none" w:sz="0" w:space="0" w:color="auto"/>
        <w:left w:val="none" w:sz="0" w:space="0" w:color="auto"/>
        <w:bottom w:val="none" w:sz="0" w:space="0" w:color="auto"/>
        <w:right w:val="none" w:sz="0" w:space="0" w:color="auto"/>
      </w:divBdr>
    </w:div>
    <w:div w:id="531118466">
      <w:bodyDiv w:val="1"/>
      <w:marLeft w:val="0"/>
      <w:marRight w:val="0"/>
      <w:marTop w:val="0"/>
      <w:marBottom w:val="0"/>
      <w:divBdr>
        <w:top w:val="none" w:sz="0" w:space="0" w:color="auto"/>
        <w:left w:val="none" w:sz="0" w:space="0" w:color="auto"/>
        <w:bottom w:val="none" w:sz="0" w:space="0" w:color="auto"/>
        <w:right w:val="none" w:sz="0" w:space="0" w:color="auto"/>
      </w:divBdr>
    </w:div>
    <w:div w:id="650207749">
      <w:bodyDiv w:val="1"/>
      <w:marLeft w:val="0"/>
      <w:marRight w:val="0"/>
      <w:marTop w:val="0"/>
      <w:marBottom w:val="0"/>
      <w:divBdr>
        <w:top w:val="none" w:sz="0" w:space="0" w:color="auto"/>
        <w:left w:val="none" w:sz="0" w:space="0" w:color="auto"/>
        <w:bottom w:val="none" w:sz="0" w:space="0" w:color="auto"/>
        <w:right w:val="none" w:sz="0" w:space="0" w:color="auto"/>
      </w:divBdr>
    </w:div>
    <w:div w:id="791243249">
      <w:bodyDiv w:val="1"/>
      <w:marLeft w:val="0"/>
      <w:marRight w:val="0"/>
      <w:marTop w:val="0"/>
      <w:marBottom w:val="0"/>
      <w:divBdr>
        <w:top w:val="none" w:sz="0" w:space="0" w:color="auto"/>
        <w:left w:val="none" w:sz="0" w:space="0" w:color="auto"/>
        <w:bottom w:val="none" w:sz="0" w:space="0" w:color="auto"/>
        <w:right w:val="none" w:sz="0" w:space="0" w:color="auto"/>
      </w:divBdr>
    </w:div>
    <w:div w:id="1239486955">
      <w:bodyDiv w:val="1"/>
      <w:marLeft w:val="0"/>
      <w:marRight w:val="0"/>
      <w:marTop w:val="0"/>
      <w:marBottom w:val="0"/>
      <w:divBdr>
        <w:top w:val="none" w:sz="0" w:space="0" w:color="auto"/>
        <w:left w:val="none" w:sz="0" w:space="0" w:color="auto"/>
        <w:bottom w:val="none" w:sz="0" w:space="0" w:color="auto"/>
        <w:right w:val="none" w:sz="0" w:space="0" w:color="auto"/>
      </w:divBdr>
    </w:div>
    <w:div w:id="1430346579">
      <w:bodyDiv w:val="1"/>
      <w:marLeft w:val="0"/>
      <w:marRight w:val="0"/>
      <w:marTop w:val="0"/>
      <w:marBottom w:val="0"/>
      <w:divBdr>
        <w:top w:val="none" w:sz="0" w:space="0" w:color="auto"/>
        <w:left w:val="none" w:sz="0" w:space="0" w:color="auto"/>
        <w:bottom w:val="none" w:sz="0" w:space="0" w:color="auto"/>
        <w:right w:val="none" w:sz="0" w:space="0" w:color="auto"/>
      </w:divBdr>
    </w:div>
    <w:div w:id="1450734843">
      <w:bodyDiv w:val="1"/>
      <w:marLeft w:val="0"/>
      <w:marRight w:val="0"/>
      <w:marTop w:val="0"/>
      <w:marBottom w:val="0"/>
      <w:divBdr>
        <w:top w:val="none" w:sz="0" w:space="0" w:color="auto"/>
        <w:left w:val="none" w:sz="0" w:space="0" w:color="auto"/>
        <w:bottom w:val="none" w:sz="0" w:space="0" w:color="auto"/>
        <w:right w:val="none" w:sz="0" w:space="0" w:color="auto"/>
      </w:divBdr>
    </w:div>
    <w:div w:id="1477844603">
      <w:bodyDiv w:val="1"/>
      <w:marLeft w:val="0"/>
      <w:marRight w:val="0"/>
      <w:marTop w:val="0"/>
      <w:marBottom w:val="0"/>
      <w:divBdr>
        <w:top w:val="none" w:sz="0" w:space="0" w:color="auto"/>
        <w:left w:val="none" w:sz="0" w:space="0" w:color="auto"/>
        <w:bottom w:val="none" w:sz="0" w:space="0" w:color="auto"/>
        <w:right w:val="none" w:sz="0" w:space="0" w:color="auto"/>
      </w:divBdr>
    </w:div>
    <w:div w:id="1545557285">
      <w:bodyDiv w:val="1"/>
      <w:marLeft w:val="0"/>
      <w:marRight w:val="0"/>
      <w:marTop w:val="0"/>
      <w:marBottom w:val="0"/>
      <w:divBdr>
        <w:top w:val="none" w:sz="0" w:space="0" w:color="auto"/>
        <w:left w:val="none" w:sz="0" w:space="0" w:color="auto"/>
        <w:bottom w:val="none" w:sz="0" w:space="0" w:color="auto"/>
        <w:right w:val="none" w:sz="0" w:space="0" w:color="auto"/>
      </w:divBdr>
    </w:div>
    <w:div w:id="1670137992">
      <w:bodyDiv w:val="1"/>
      <w:marLeft w:val="0"/>
      <w:marRight w:val="0"/>
      <w:marTop w:val="0"/>
      <w:marBottom w:val="0"/>
      <w:divBdr>
        <w:top w:val="none" w:sz="0" w:space="0" w:color="auto"/>
        <w:left w:val="none" w:sz="0" w:space="0" w:color="auto"/>
        <w:bottom w:val="none" w:sz="0" w:space="0" w:color="auto"/>
        <w:right w:val="none" w:sz="0" w:space="0" w:color="auto"/>
      </w:divBdr>
    </w:div>
    <w:div w:id="1751386394">
      <w:bodyDiv w:val="1"/>
      <w:marLeft w:val="0"/>
      <w:marRight w:val="0"/>
      <w:marTop w:val="0"/>
      <w:marBottom w:val="0"/>
      <w:divBdr>
        <w:top w:val="none" w:sz="0" w:space="0" w:color="auto"/>
        <w:left w:val="none" w:sz="0" w:space="0" w:color="auto"/>
        <w:bottom w:val="none" w:sz="0" w:space="0" w:color="auto"/>
        <w:right w:val="none" w:sz="0" w:space="0" w:color="auto"/>
      </w:divBdr>
    </w:div>
    <w:div w:id="1756126600">
      <w:bodyDiv w:val="1"/>
      <w:marLeft w:val="0"/>
      <w:marRight w:val="0"/>
      <w:marTop w:val="0"/>
      <w:marBottom w:val="0"/>
      <w:divBdr>
        <w:top w:val="none" w:sz="0" w:space="0" w:color="auto"/>
        <w:left w:val="none" w:sz="0" w:space="0" w:color="auto"/>
        <w:bottom w:val="none" w:sz="0" w:space="0" w:color="auto"/>
        <w:right w:val="none" w:sz="0" w:space="0" w:color="auto"/>
      </w:divBdr>
    </w:div>
    <w:div w:id="1878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context.reverso.net/&#1087;&#1077;&#1088;&#1077;&#1074;&#1086;&#1076;/&#1072;&#1085;&#1075;&#1083;&#1080;&#1081;&#1089;&#1082;&#1080;&#1081;-&#1088;&#1091;&#1089;&#1089;&#1082;&#1080;&#1081;/an+integral+part+of" TargetMode="External"/><Relationship Id="rId12" Type="http://schemas.openxmlformats.org/officeDocument/2006/relationships/header" Target="head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reg/2019/2088" TargetMode="External"/><Relationship Id="rId13" Type="http://schemas.openxmlformats.org/officeDocument/2006/relationships/hyperlink" Target="https://www.msci.com/our-solutions/esg-investing/esg-fund-ratings-climate-search-tool" TargetMode="External"/><Relationship Id="rId18" Type="http://schemas.openxmlformats.org/officeDocument/2006/relationships/hyperlink" Target="https://eur-lex.europa.eu/eli/dir_del/2021/1269" TargetMode="External"/><Relationship Id="rId3" Type="http://schemas.openxmlformats.org/officeDocument/2006/relationships/hyperlink" Target="https://www.esma.europa.eu/sites/default/files/2023-03/ESMA35-43-3448_Final_report_on_MiFID_II_guidelines_on_product_governance.pdf" TargetMode="External"/><Relationship Id="rId21" Type="http://schemas.openxmlformats.org/officeDocument/2006/relationships/hyperlink" Target="https://eur-lex.europa.eu/eli/dir/2009/65" TargetMode="External"/><Relationship Id="rId7" Type="http://schemas.openxmlformats.org/officeDocument/2006/relationships/hyperlink" Target="https://eur-lex.europa.eu/eli/reg/2014/1286" TargetMode="External"/><Relationship Id="rId12" Type="http://schemas.openxmlformats.org/officeDocument/2006/relationships/hyperlink" Target="https://www.cysec.gov.cy/CMSPages/GetFile.aspx?guid=164a836e-de2b-4509-905c-45818757d4ec" TargetMode="External"/><Relationship Id="rId17" Type="http://schemas.openxmlformats.org/officeDocument/2006/relationships/hyperlink" Target="https://www.cdp.net/en/companies/companies-scores" TargetMode="External"/><Relationship Id="rId2" Type="http://schemas.openxmlformats.org/officeDocument/2006/relationships/hyperlink" Target="https://www.cysec.gov.cy/CMSPages/GetFile.aspx?guid=930fab24-af80-4736-81be-7508c9dc12e4" TargetMode="External"/><Relationship Id="rId16" Type="http://schemas.openxmlformats.org/officeDocument/2006/relationships/hyperlink" Target="file:///\\s1\UsersShare\SWAP\_K.KUZNETSOV\2022\2022-02-14_Olga_product%20governance\2023-05-16_&#1088;&#1077;&#1076;&#1072;&#1082;&#1094;&#1080;&#1103;%20&#1086;&#1090;%20N.Tantis%20(FinCap)\1_Product%20Governance%20Policy\,%20https:\www.sustainalytics.com\esg-ratings" TargetMode="External"/><Relationship Id="rId20" Type="http://schemas.openxmlformats.org/officeDocument/2006/relationships/hyperlink" Target="https://eur-lex.europa.eu/eli/dir/2004/109" TargetMode="External"/><Relationship Id="rId1" Type="http://schemas.openxmlformats.org/officeDocument/2006/relationships/hyperlink" Target="https://www.cysec.gov.cy/CMSPages/GetFile.aspx?guid=84461d00-a4b8-49ad-9a94-58458f2216f6" TargetMode="External"/><Relationship Id="rId6" Type="http://schemas.openxmlformats.org/officeDocument/2006/relationships/hyperlink" Target="https://eur-lex.europa.eu/eli/dir/2014/65" TargetMode="External"/><Relationship Id="rId11" Type="http://schemas.openxmlformats.org/officeDocument/2006/relationships/hyperlink" Target="https://www.esma.europa.eu/sites/default/files/library/esma35-43-349_mifid_ii_qas_on_investor_protection_topics.pdf" TargetMode="External"/><Relationship Id="rId5" Type="http://schemas.openxmlformats.org/officeDocument/2006/relationships/hyperlink" Target="https://eur-lex.europa.eu/eli/dir_del/2017/593" TargetMode="External"/><Relationship Id="rId15" Type="http://schemas.openxmlformats.org/officeDocument/2006/relationships/hyperlink" Target="https://www.sustainablefitch.com/products/esg-ratings/" TargetMode="External"/><Relationship Id="rId10" Type="http://schemas.openxmlformats.org/officeDocument/2006/relationships/hyperlink" Target="https://eur-lex.europa.eu/eli/reg/2020/852/oj" TargetMode="External"/><Relationship Id="rId19" Type="http://schemas.openxmlformats.org/officeDocument/2006/relationships/hyperlink" Target="https://eur-lex.europa.eu/eli/reg/2017/1129" TargetMode="External"/><Relationship Id="rId4" Type="http://schemas.openxmlformats.org/officeDocument/2006/relationships/hyperlink" Target="https://www.cysec.gov.cy/en-GB/legislation/services-markets/epey/" TargetMode="External"/><Relationship Id="rId9" Type="http://schemas.openxmlformats.org/officeDocument/2006/relationships/hyperlink" Target="https://eur-lex.europa.eu/eli/reg_del/2017/565" TargetMode="External"/><Relationship Id="rId14" Type="http://schemas.openxmlformats.org/officeDocument/2006/relationships/hyperlink" Target="https://www.bloomberg.com/professional/product/esg-data/" TargetMode="External"/><Relationship Id="rId22" Type="http://schemas.openxmlformats.org/officeDocument/2006/relationships/hyperlink" Target="https://eur-lex.europa.eu/eli/dir/2011/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8451</Words>
  <Characters>50234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2023-05-19T17:37:00Z</dcterms:created>
  <dcterms:modified xsi:type="dcterms:W3CDTF">2023-07-24T13:50:00Z</dcterms:modified>
</cp:coreProperties>
</file>